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BB97E7" w14:textId="77777777" w:rsidR="002D22FB" w:rsidRDefault="002D22FB" w:rsidP="002D22FB">
      <w:pPr>
        <w:widowControl w:val="0"/>
        <w:autoSpaceDE w:val="0"/>
        <w:autoSpaceDN w:val="0"/>
        <w:adjustRightInd w:val="0"/>
        <w:rPr>
          <w:rFonts w:ascii="Arial" w:hAnsi="Arial" w:cs="Arial"/>
          <w:color w:val="074080"/>
          <w:sz w:val="18"/>
          <w:szCs w:val="18"/>
        </w:rPr>
      </w:pPr>
      <w:r>
        <w:rPr>
          <w:rFonts w:ascii="Arial" w:hAnsi="Arial" w:cs="Arial"/>
          <w:color w:val="074080"/>
          <w:sz w:val="18"/>
          <w:szCs w:val="18"/>
        </w:rPr>
        <w:t xml:space="preserve">MESSAGE DE LA CHAINE LOGISTIQUE DU FROID DU </w:t>
      </w:r>
      <w:r w:rsidR="00215EE9">
        <w:rPr>
          <w:rFonts w:ascii="Arial" w:hAnsi="Arial" w:cs="Arial"/>
          <w:color w:val="074080"/>
          <w:sz w:val="18"/>
          <w:szCs w:val="18"/>
        </w:rPr>
        <w:t xml:space="preserve"> 10 novembre 2017</w:t>
      </w:r>
      <w:bookmarkStart w:id="0" w:name="_GoBack"/>
      <w:bookmarkEnd w:id="0"/>
    </w:p>
    <w:p w14:paraId="55BF53A8" w14:textId="77777777" w:rsidR="002D22FB" w:rsidRDefault="002D22FB" w:rsidP="002D22FB">
      <w:pPr>
        <w:widowControl w:val="0"/>
        <w:autoSpaceDE w:val="0"/>
        <w:autoSpaceDN w:val="0"/>
        <w:adjustRightInd w:val="0"/>
        <w:rPr>
          <w:rFonts w:ascii="Arial" w:hAnsi="Arial" w:cs="Arial"/>
          <w:color w:val="074080"/>
          <w:sz w:val="18"/>
          <w:szCs w:val="18"/>
        </w:rPr>
      </w:pPr>
    </w:p>
    <w:p w14:paraId="27F92C99" w14:textId="77777777" w:rsidR="002D22FB" w:rsidRDefault="002D22FB" w:rsidP="002D22FB">
      <w:pPr>
        <w:widowControl w:val="0"/>
        <w:autoSpaceDE w:val="0"/>
        <w:autoSpaceDN w:val="0"/>
        <w:adjustRightInd w:val="0"/>
        <w:rPr>
          <w:rFonts w:ascii="Arial" w:hAnsi="Arial" w:cs="Arial"/>
          <w:color w:val="074080"/>
          <w:sz w:val="18"/>
          <w:szCs w:val="18"/>
        </w:rPr>
      </w:pPr>
    </w:p>
    <w:p w14:paraId="1D30B7E2" w14:textId="77777777" w:rsidR="002D22FB" w:rsidRPr="002D22FB" w:rsidRDefault="002D22FB" w:rsidP="002D22FB">
      <w:pPr>
        <w:widowControl w:val="0"/>
        <w:autoSpaceDE w:val="0"/>
        <w:autoSpaceDN w:val="0"/>
        <w:adjustRightInd w:val="0"/>
        <w:rPr>
          <w:rFonts w:ascii="Calibri" w:hAnsi="Calibri" w:cs="Calibri"/>
          <w:sz w:val="18"/>
          <w:szCs w:val="18"/>
        </w:rPr>
      </w:pPr>
      <w:r w:rsidRPr="002D22FB">
        <w:rPr>
          <w:rFonts w:ascii="Arial" w:hAnsi="Arial" w:cs="Arial"/>
          <w:color w:val="074080"/>
          <w:sz w:val="18"/>
          <w:szCs w:val="18"/>
        </w:rPr>
        <w:t>Madame, Monsieur le Député,</w:t>
      </w:r>
    </w:p>
    <w:p w14:paraId="710B2BD2" w14:textId="77777777" w:rsidR="002D22FB" w:rsidRPr="002D22FB" w:rsidRDefault="002D22FB" w:rsidP="002D22FB">
      <w:pPr>
        <w:widowControl w:val="0"/>
        <w:autoSpaceDE w:val="0"/>
        <w:autoSpaceDN w:val="0"/>
        <w:adjustRightInd w:val="0"/>
        <w:rPr>
          <w:rFonts w:ascii="Calibri" w:hAnsi="Calibri" w:cs="Calibri"/>
          <w:sz w:val="18"/>
          <w:szCs w:val="18"/>
        </w:rPr>
      </w:pPr>
    </w:p>
    <w:p w14:paraId="549D0582" w14:textId="77777777" w:rsidR="002D22FB" w:rsidRPr="002D22FB" w:rsidRDefault="002D22FB" w:rsidP="002D22FB">
      <w:pPr>
        <w:widowControl w:val="0"/>
        <w:autoSpaceDE w:val="0"/>
        <w:autoSpaceDN w:val="0"/>
        <w:adjustRightInd w:val="0"/>
        <w:rPr>
          <w:rFonts w:ascii="Calibri" w:hAnsi="Calibri" w:cs="Calibri"/>
          <w:sz w:val="18"/>
          <w:szCs w:val="18"/>
        </w:rPr>
      </w:pPr>
      <w:r w:rsidRPr="002D22FB">
        <w:rPr>
          <w:rFonts w:ascii="Arial" w:hAnsi="Arial" w:cs="Arial"/>
          <w:color w:val="074080"/>
          <w:sz w:val="18"/>
          <w:szCs w:val="18"/>
        </w:rPr>
        <w:t> </w:t>
      </w:r>
    </w:p>
    <w:p w14:paraId="26E92D8F" w14:textId="77777777" w:rsidR="002D22FB" w:rsidRPr="002D22FB" w:rsidRDefault="002D22FB" w:rsidP="002D22FB">
      <w:pPr>
        <w:widowControl w:val="0"/>
        <w:autoSpaceDE w:val="0"/>
        <w:autoSpaceDN w:val="0"/>
        <w:adjustRightInd w:val="0"/>
        <w:rPr>
          <w:rFonts w:ascii="Calibri" w:hAnsi="Calibri" w:cs="Calibri"/>
          <w:sz w:val="18"/>
          <w:szCs w:val="18"/>
        </w:rPr>
      </w:pPr>
      <w:r w:rsidRPr="002D22FB">
        <w:rPr>
          <w:rFonts w:ascii="Arial" w:hAnsi="Arial" w:cs="Arial"/>
          <w:color w:val="074080"/>
          <w:sz w:val="18"/>
          <w:szCs w:val="18"/>
        </w:rPr>
        <w:t xml:space="preserve">Nous avons pris connaissance de l’amendement </w:t>
      </w:r>
      <w:hyperlink r:id="rId5" w:history="1">
        <w:r w:rsidRPr="002D22FB">
          <w:rPr>
            <w:rFonts w:ascii="Arial" w:hAnsi="Arial" w:cs="Arial"/>
            <w:color w:val="0B4CB4"/>
            <w:sz w:val="18"/>
            <w:szCs w:val="18"/>
            <w:u w:val="single" w:color="0B4CB4"/>
          </w:rPr>
          <w:t>n°II-CF526</w:t>
        </w:r>
      </w:hyperlink>
      <w:r w:rsidRPr="002D22FB">
        <w:rPr>
          <w:rFonts w:ascii="Arial" w:hAnsi="Arial" w:cs="Arial"/>
          <w:color w:val="074080"/>
          <w:sz w:val="18"/>
          <w:szCs w:val="18"/>
        </w:rPr>
        <w:t> déposé dans le cadre du projet de loi de finances 2018 en vue d’introduire une taxe sur les gaz à fort effet de serre et notamment les HFC.</w:t>
      </w:r>
    </w:p>
    <w:p w14:paraId="5A859EEA" w14:textId="77777777" w:rsidR="002D22FB" w:rsidRPr="002D22FB" w:rsidRDefault="002D22FB" w:rsidP="002D22FB">
      <w:pPr>
        <w:widowControl w:val="0"/>
        <w:autoSpaceDE w:val="0"/>
        <w:autoSpaceDN w:val="0"/>
        <w:adjustRightInd w:val="0"/>
        <w:rPr>
          <w:rFonts w:ascii="Calibri" w:hAnsi="Calibri" w:cs="Calibri"/>
          <w:sz w:val="18"/>
          <w:szCs w:val="18"/>
        </w:rPr>
      </w:pPr>
    </w:p>
    <w:p w14:paraId="532E5A49" w14:textId="77777777" w:rsidR="002D22FB" w:rsidRPr="002D22FB" w:rsidRDefault="002D22FB" w:rsidP="002D22FB">
      <w:pPr>
        <w:widowControl w:val="0"/>
        <w:autoSpaceDE w:val="0"/>
        <w:autoSpaceDN w:val="0"/>
        <w:adjustRightInd w:val="0"/>
        <w:rPr>
          <w:rFonts w:ascii="Calibri" w:hAnsi="Calibri" w:cs="Calibri"/>
          <w:sz w:val="18"/>
          <w:szCs w:val="18"/>
          <w:u w:color="18376A"/>
        </w:rPr>
      </w:pPr>
      <w:r w:rsidRPr="002D22FB">
        <w:rPr>
          <w:rFonts w:ascii="Arial" w:hAnsi="Arial" w:cs="Arial"/>
          <w:b/>
          <w:bCs/>
          <w:color w:val="18376A"/>
          <w:sz w:val="18"/>
          <w:szCs w:val="18"/>
          <w:u w:val="single" w:color="18376A"/>
        </w:rPr>
        <w:t>Nous espérons que les éléments ci-dessous vous permettront d’apprécier la redondance d’une taxe sur les HFC et, ainsi, de vous opposer à cet amendement. </w:t>
      </w:r>
    </w:p>
    <w:p w14:paraId="344A9636" w14:textId="77777777" w:rsidR="002D22FB" w:rsidRPr="002D22FB" w:rsidRDefault="002D22FB" w:rsidP="002D22FB">
      <w:pPr>
        <w:widowControl w:val="0"/>
        <w:autoSpaceDE w:val="0"/>
        <w:autoSpaceDN w:val="0"/>
        <w:adjustRightInd w:val="0"/>
        <w:rPr>
          <w:rFonts w:ascii="Calibri" w:hAnsi="Calibri" w:cs="Calibri"/>
          <w:sz w:val="18"/>
          <w:szCs w:val="18"/>
          <w:u w:color="18376A"/>
        </w:rPr>
      </w:pPr>
    </w:p>
    <w:p w14:paraId="2C715A7A" w14:textId="77777777" w:rsidR="002D22FB" w:rsidRPr="002D22FB" w:rsidRDefault="002D22FB" w:rsidP="002D22FB">
      <w:pPr>
        <w:widowControl w:val="0"/>
        <w:autoSpaceDE w:val="0"/>
        <w:autoSpaceDN w:val="0"/>
        <w:adjustRightInd w:val="0"/>
        <w:rPr>
          <w:rFonts w:ascii="Calibri" w:hAnsi="Calibri" w:cs="Calibri"/>
          <w:sz w:val="18"/>
          <w:szCs w:val="18"/>
          <w:u w:color="18376A"/>
        </w:rPr>
      </w:pPr>
    </w:p>
    <w:p w14:paraId="13A8D164" w14:textId="77777777" w:rsidR="002D22FB" w:rsidRPr="002D22FB" w:rsidRDefault="002D22FB" w:rsidP="002D22FB">
      <w:pPr>
        <w:widowControl w:val="0"/>
        <w:autoSpaceDE w:val="0"/>
        <w:autoSpaceDN w:val="0"/>
        <w:adjustRightInd w:val="0"/>
        <w:rPr>
          <w:rFonts w:ascii="Calibri" w:hAnsi="Calibri" w:cs="Calibri"/>
          <w:sz w:val="18"/>
          <w:szCs w:val="18"/>
          <w:u w:color="18376A"/>
        </w:rPr>
      </w:pPr>
      <w:r w:rsidRPr="002D22FB">
        <w:rPr>
          <w:rFonts w:ascii="Arial" w:hAnsi="Arial" w:cs="Arial"/>
          <w:color w:val="074080"/>
          <w:sz w:val="18"/>
          <w:szCs w:val="18"/>
          <w:u w:color="18376A"/>
        </w:rPr>
        <w:t>Il est indiqué dans l’exposé sommaire d’accompagnement que la taxe proposée n’a pas pour objectif d’interdire les gaz à effet de serre mais </w:t>
      </w:r>
      <w:r w:rsidRPr="002D22FB">
        <w:rPr>
          <w:rFonts w:ascii="Arial" w:hAnsi="Arial" w:cs="Arial"/>
          <w:i/>
          <w:iCs/>
          <w:color w:val="074080"/>
          <w:sz w:val="18"/>
          <w:szCs w:val="18"/>
          <w:u w:color="18376A"/>
        </w:rPr>
        <w:t>a minima</w:t>
      </w:r>
      <w:r w:rsidRPr="002D22FB">
        <w:rPr>
          <w:rFonts w:ascii="Arial" w:hAnsi="Arial" w:cs="Arial"/>
          <w:color w:val="074080"/>
          <w:sz w:val="18"/>
          <w:szCs w:val="18"/>
          <w:u w:color="18376A"/>
        </w:rPr>
        <w:t> d’en limiter l’utilisation.</w:t>
      </w:r>
    </w:p>
    <w:p w14:paraId="4E759F5A" w14:textId="77777777" w:rsidR="002D22FB" w:rsidRPr="002D22FB" w:rsidRDefault="002D22FB" w:rsidP="002D22FB">
      <w:pPr>
        <w:widowControl w:val="0"/>
        <w:autoSpaceDE w:val="0"/>
        <w:autoSpaceDN w:val="0"/>
        <w:adjustRightInd w:val="0"/>
        <w:rPr>
          <w:rFonts w:ascii="Calibri" w:hAnsi="Calibri" w:cs="Calibri"/>
          <w:sz w:val="18"/>
          <w:szCs w:val="18"/>
          <w:u w:color="18376A"/>
        </w:rPr>
      </w:pPr>
      <w:r w:rsidRPr="002D22FB">
        <w:rPr>
          <w:rFonts w:ascii="Arial" w:hAnsi="Arial" w:cs="Arial"/>
          <w:color w:val="074080"/>
          <w:sz w:val="18"/>
          <w:szCs w:val="18"/>
          <w:u w:color="18376A"/>
        </w:rPr>
        <w:t> </w:t>
      </w:r>
    </w:p>
    <w:p w14:paraId="116F181D" w14:textId="77777777" w:rsidR="002D22FB" w:rsidRPr="002D22FB" w:rsidRDefault="002D22FB" w:rsidP="002D22FB">
      <w:pPr>
        <w:widowControl w:val="0"/>
        <w:autoSpaceDE w:val="0"/>
        <w:autoSpaceDN w:val="0"/>
        <w:adjustRightInd w:val="0"/>
        <w:rPr>
          <w:rFonts w:ascii="Calibri" w:hAnsi="Calibri" w:cs="Calibri"/>
          <w:sz w:val="18"/>
          <w:szCs w:val="18"/>
          <w:u w:color="18376A"/>
        </w:rPr>
      </w:pPr>
      <w:r w:rsidRPr="002D22FB">
        <w:rPr>
          <w:rFonts w:ascii="Arial" w:hAnsi="Arial" w:cs="Arial"/>
          <w:color w:val="074080"/>
          <w:sz w:val="18"/>
          <w:szCs w:val="18"/>
          <w:u w:color="18376A"/>
        </w:rPr>
        <w:t>Il nous semble important de vous préciser l’engagement depuis de nombreuses années de tous les professionnels utilisateurs de froid, et notamment de froid industriel, pour se désengager de l’utilisation de telles substances.</w:t>
      </w:r>
    </w:p>
    <w:p w14:paraId="6DFCD0E5" w14:textId="77777777" w:rsidR="002D22FB" w:rsidRPr="002D22FB" w:rsidRDefault="002D22FB" w:rsidP="002D22FB">
      <w:pPr>
        <w:widowControl w:val="0"/>
        <w:autoSpaceDE w:val="0"/>
        <w:autoSpaceDN w:val="0"/>
        <w:adjustRightInd w:val="0"/>
        <w:rPr>
          <w:rFonts w:ascii="Calibri" w:hAnsi="Calibri" w:cs="Calibri"/>
          <w:sz w:val="18"/>
          <w:szCs w:val="18"/>
          <w:u w:color="18376A"/>
        </w:rPr>
      </w:pPr>
      <w:r w:rsidRPr="002D22FB">
        <w:rPr>
          <w:rFonts w:ascii="Arial" w:hAnsi="Arial" w:cs="Arial"/>
          <w:color w:val="074080"/>
          <w:sz w:val="18"/>
          <w:szCs w:val="18"/>
          <w:u w:color="18376A"/>
        </w:rPr>
        <w:t>Dès les années 1990, ils ont en effet investi lourdement pour retirer les gaz nocifs pour la couche d’ozone (HCFC) de leurs installations.</w:t>
      </w:r>
    </w:p>
    <w:p w14:paraId="16E6E285" w14:textId="77777777" w:rsidR="002D22FB" w:rsidRPr="002D22FB" w:rsidRDefault="002D22FB" w:rsidP="002D22FB">
      <w:pPr>
        <w:widowControl w:val="0"/>
        <w:autoSpaceDE w:val="0"/>
        <w:autoSpaceDN w:val="0"/>
        <w:adjustRightInd w:val="0"/>
        <w:rPr>
          <w:rFonts w:ascii="Calibri" w:hAnsi="Calibri" w:cs="Calibri"/>
          <w:sz w:val="18"/>
          <w:szCs w:val="18"/>
          <w:u w:color="18376A"/>
        </w:rPr>
      </w:pPr>
      <w:r w:rsidRPr="002D22FB">
        <w:rPr>
          <w:rFonts w:ascii="Arial" w:hAnsi="Arial" w:cs="Arial"/>
          <w:color w:val="074080"/>
          <w:sz w:val="18"/>
          <w:szCs w:val="18"/>
          <w:u w:color="18376A"/>
        </w:rPr>
        <w:t> </w:t>
      </w:r>
    </w:p>
    <w:p w14:paraId="328CCF93" w14:textId="77777777" w:rsidR="002D22FB" w:rsidRPr="002D22FB" w:rsidRDefault="002D22FB" w:rsidP="002D22FB">
      <w:pPr>
        <w:widowControl w:val="0"/>
        <w:autoSpaceDE w:val="0"/>
        <w:autoSpaceDN w:val="0"/>
        <w:adjustRightInd w:val="0"/>
        <w:rPr>
          <w:rFonts w:ascii="Calibri" w:hAnsi="Calibri" w:cs="Calibri"/>
          <w:sz w:val="18"/>
          <w:szCs w:val="18"/>
          <w:u w:color="18376A"/>
        </w:rPr>
      </w:pPr>
      <w:r w:rsidRPr="002D22FB">
        <w:rPr>
          <w:rFonts w:ascii="Arial" w:hAnsi="Arial" w:cs="Arial"/>
          <w:color w:val="074080"/>
          <w:sz w:val="18"/>
          <w:szCs w:val="18"/>
          <w:u w:color="18376A"/>
        </w:rPr>
        <w:t>Cependant, le contexte règlementaire spécifique à la France rendait très contraignante l’utilisation de substances neutres pour l’environnement, telles que l’ammoniac, par ailleurs largement déployé chez nos voisins européens (Allemagne, Espagne, pays nordiques).</w:t>
      </w:r>
    </w:p>
    <w:p w14:paraId="5F040A46" w14:textId="77777777" w:rsidR="002D22FB" w:rsidRPr="002D22FB" w:rsidRDefault="002D22FB" w:rsidP="002D22FB">
      <w:pPr>
        <w:widowControl w:val="0"/>
        <w:autoSpaceDE w:val="0"/>
        <w:autoSpaceDN w:val="0"/>
        <w:adjustRightInd w:val="0"/>
        <w:rPr>
          <w:rFonts w:ascii="Calibri" w:hAnsi="Calibri" w:cs="Calibri"/>
          <w:sz w:val="18"/>
          <w:szCs w:val="18"/>
          <w:u w:color="18376A"/>
        </w:rPr>
      </w:pPr>
      <w:r w:rsidRPr="002D22FB">
        <w:rPr>
          <w:rFonts w:ascii="Arial" w:hAnsi="Arial" w:cs="Arial"/>
          <w:color w:val="074080"/>
          <w:sz w:val="18"/>
          <w:szCs w:val="18"/>
          <w:u w:color="18376A"/>
        </w:rPr>
        <w:t>Ainsi, et jusqu’en 2010, faute de choix, les professionnels ont pu être contraints par la réglementation française de construire ou de convertir leurs installations de production de froid avec des HFC. Nos organisations professionnelles n’avaient pas manqué à l’époque d’alerter les pouvoirs publics sur les conséquences dommageables à l’environnement des nouveaux textes réglementaires ; faute d’avoir été entendus, nous en arrivons à la situation actuelle.</w:t>
      </w:r>
    </w:p>
    <w:p w14:paraId="390B1165" w14:textId="77777777" w:rsidR="002D22FB" w:rsidRPr="002D22FB" w:rsidRDefault="002D22FB" w:rsidP="002D22FB">
      <w:pPr>
        <w:widowControl w:val="0"/>
        <w:autoSpaceDE w:val="0"/>
        <w:autoSpaceDN w:val="0"/>
        <w:adjustRightInd w:val="0"/>
        <w:rPr>
          <w:rFonts w:ascii="Calibri" w:hAnsi="Calibri" w:cs="Calibri"/>
          <w:sz w:val="18"/>
          <w:szCs w:val="18"/>
          <w:u w:color="18376A"/>
        </w:rPr>
      </w:pPr>
      <w:r w:rsidRPr="002D22FB">
        <w:rPr>
          <w:rFonts w:ascii="Arial" w:hAnsi="Arial" w:cs="Arial"/>
          <w:color w:val="074080"/>
          <w:sz w:val="18"/>
          <w:szCs w:val="18"/>
          <w:u w:color="18376A"/>
        </w:rPr>
        <w:t> </w:t>
      </w:r>
    </w:p>
    <w:p w14:paraId="78A73418" w14:textId="77777777" w:rsidR="002D22FB" w:rsidRPr="002D22FB" w:rsidRDefault="002D22FB" w:rsidP="002D22FB">
      <w:pPr>
        <w:widowControl w:val="0"/>
        <w:autoSpaceDE w:val="0"/>
        <w:autoSpaceDN w:val="0"/>
        <w:adjustRightInd w:val="0"/>
        <w:rPr>
          <w:rFonts w:ascii="Calibri" w:hAnsi="Calibri" w:cs="Calibri"/>
          <w:sz w:val="18"/>
          <w:szCs w:val="18"/>
          <w:u w:color="18376A"/>
        </w:rPr>
      </w:pPr>
      <w:r w:rsidRPr="002D22FB">
        <w:rPr>
          <w:rFonts w:ascii="Arial" w:hAnsi="Arial" w:cs="Arial"/>
          <w:color w:val="074080"/>
          <w:sz w:val="18"/>
          <w:szCs w:val="18"/>
          <w:u w:color="18376A"/>
        </w:rPr>
        <w:t>Par ailleurs, et avec le soutien des professionnels, l’Union Européenne a mis en place deux dispositifs règlementaires successifs, le premier visant à limiter les émissions des gaz à effet de serre (Règlement 842/2006) et le second à limiter l’utilisation de ces gaz (Règlement 517/2014).</w:t>
      </w:r>
    </w:p>
    <w:p w14:paraId="418665D8" w14:textId="77777777" w:rsidR="002D22FB" w:rsidRPr="002D22FB" w:rsidRDefault="002D22FB" w:rsidP="002D22FB">
      <w:pPr>
        <w:widowControl w:val="0"/>
        <w:autoSpaceDE w:val="0"/>
        <w:autoSpaceDN w:val="0"/>
        <w:adjustRightInd w:val="0"/>
        <w:rPr>
          <w:rFonts w:ascii="Calibri" w:hAnsi="Calibri" w:cs="Calibri"/>
          <w:sz w:val="18"/>
          <w:szCs w:val="18"/>
          <w:u w:color="18376A"/>
        </w:rPr>
      </w:pPr>
      <w:r w:rsidRPr="002D22FB">
        <w:rPr>
          <w:rFonts w:ascii="Arial" w:hAnsi="Arial" w:cs="Arial"/>
          <w:color w:val="074080"/>
          <w:sz w:val="18"/>
          <w:szCs w:val="18"/>
          <w:u w:color="18376A"/>
        </w:rPr>
        <w:t>Ce dernier texte met en place un calendrier de diminution progressive des quantités de gaz mis sur le marché, sur la base de leur potentiel de réchauffement planétaire (PRP).</w:t>
      </w:r>
    </w:p>
    <w:p w14:paraId="5BFDE350" w14:textId="77777777" w:rsidR="002D22FB" w:rsidRPr="002D22FB" w:rsidRDefault="002D22FB" w:rsidP="002D22FB">
      <w:pPr>
        <w:widowControl w:val="0"/>
        <w:autoSpaceDE w:val="0"/>
        <w:autoSpaceDN w:val="0"/>
        <w:adjustRightInd w:val="0"/>
        <w:rPr>
          <w:rFonts w:ascii="Calibri" w:hAnsi="Calibri" w:cs="Calibri"/>
          <w:sz w:val="18"/>
          <w:szCs w:val="18"/>
          <w:u w:color="18376A"/>
        </w:rPr>
      </w:pPr>
      <w:r w:rsidRPr="002D22FB">
        <w:rPr>
          <w:rFonts w:ascii="Arial" w:hAnsi="Arial" w:cs="Arial"/>
          <w:color w:val="074080"/>
          <w:sz w:val="18"/>
          <w:szCs w:val="18"/>
          <w:u w:color="18376A"/>
        </w:rPr>
        <w:t>Ainsi, à compter du 1</w:t>
      </w:r>
      <w:r w:rsidRPr="002D22FB">
        <w:rPr>
          <w:rFonts w:ascii="Arial" w:hAnsi="Arial" w:cs="Arial"/>
          <w:color w:val="074080"/>
          <w:sz w:val="18"/>
          <w:szCs w:val="18"/>
          <w:u w:color="18376A"/>
          <w:vertAlign w:val="superscript"/>
        </w:rPr>
        <w:t>er</w:t>
      </w:r>
      <w:r w:rsidRPr="002D22FB">
        <w:rPr>
          <w:rFonts w:ascii="Arial" w:hAnsi="Arial" w:cs="Arial"/>
          <w:color w:val="074080"/>
          <w:sz w:val="18"/>
          <w:szCs w:val="18"/>
          <w:u w:color="18376A"/>
        </w:rPr>
        <w:t> janvier 2018 les t eq CO</w:t>
      </w:r>
      <w:r w:rsidRPr="002D22FB">
        <w:rPr>
          <w:rFonts w:ascii="Arial" w:hAnsi="Arial" w:cs="Arial"/>
          <w:color w:val="074080"/>
          <w:sz w:val="18"/>
          <w:szCs w:val="18"/>
          <w:u w:color="18376A"/>
          <w:vertAlign w:val="subscript"/>
        </w:rPr>
        <w:t>2</w:t>
      </w:r>
      <w:r w:rsidRPr="002D22FB">
        <w:rPr>
          <w:rFonts w:ascii="Arial" w:hAnsi="Arial" w:cs="Arial"/>
          <w:color w:val="074080"/>
          <w:sz w:val="18"/>
          <w:szCs w:val="18"/>
          <w:u w:color="18376A"/>
        </w:rPr>
        <w:t> mises sur le marché pendant la période de référence 2009/2012 seront diminuées de</w:t>
      </w:r>
    </w:p>
    <w:p w14:paraId="360657B8" w14:textId="77777777" w:rsidR="002D22FB" w:rsidRPr="002D22FB" w:rsidRDefault="002D22FB" w:rsidP="002D22FB">
      <w:pPr>
        <w:widowControl w:val="0"/>
        <w:autoSpaceDE w:val="0"/>
        <w:autoSpaceDN w:val="0"/>
        <w:adjustRightInd w:val="0"/>
        <w:rPr>
          <w:rFonts w:ascii="Calibri" w:hAnsi="Calibri" w:cs="Calibri"/>
          <w:sz w:val="18"/>
          <w:szCs w:val="18"/>
          <w:u w:color="18376A"/>
        </w:rPr>
      </w:pPr>
      <w:r w:rsidRPr="002D22FB">
        <w:rPr>
          <w:rFonts w:ascii="Arial" w:hAnsi="Arial" w:cs="Arial"/>
          <w:color w:val="074080"/>
          <w:sz w:val="18"/>
          <w:szCs w:val="18"/>
          <w:u w:color="18376A"/>
        </w:rPr>
        <w:t> </w:t>
      </w:r>
    </w:p>
    <w:p w14:paraId="2C5FF7A6" w14:textId="77777777" w:rsidR="002D22FB" w:rsidRPr="002D22FB" w:rsidRDefault="002D22FB" w:rsidP="002D22FB">
      <w:pPr>
        <w:widowControl w:val="0"/>
        <w:autoSpaceDE w:val="0"/>
        <w:autoSpaceDN w:val="0"/>
        <w:adjustRightInd w:val="0"/>
        <w:rPr>
          <w:rFonts w:ascii="Calibri" w:hAnsi="Calibri" w:cs="Calibri"/>
          <w:sz w:val="18"/>
          <w:szCs w:val="18"/>
          <w:u w:color="18376A"/>
        </w:rPr>
      </w:pPr>
      <w:r w:rsidRPr="002D22FB">
        <w:rPr>
          <w:rFonts w:ascii="Arial" w:hAnsi="Arial" w:cs="Arial"/>
          <w:color w:val="074080"/>
          <w:sz w:val="18"/>
          <w:szCs w:val="18"/>
          <w:u w:color="18376A"/>
        </w:rPr>
        <w:t>-       37% pour les quantités en vrac</w:t>
      </w:r>
    </w:p>
    <w:p w14:paraId="78AC71EB" w14:textId="77777777" w:rsidR="002D22FB" w:rsidRPr="002D22FB" w:rsidRDefault="002D22FB" w:rsidP="002D22FB">
      <w:pPr>
        <w:widowControl w:val="0"/>
        <w:autoSpaceDE w:val="0"/>
        <w:autoSpaceDN w:val="0"/>
        <w:adjustRightInd w:val="0"/>
        <w:rPr>
          <w:rFonts w:ascii="Calibri" w:hAnsi="Calibri" w:cs="Calibri"/>
          <w:sz w:val="18"/>
          <w:szCs w:val="18"/>
          <w:u w:color="18376A"/>
        </w:rPr>
      </w:pPr>
      <w:r w:rsidRPr="002D22FB">
        <w:rPr>
          <w:rFonts w:ascii="Arial" w:hAnsi="Arial" w:cs="Arial"/>
          <w:color w:val="074080"/>
          <w:sz w:val="18"/>
          <w:szCs w:val="18"/>
          <w:u w:color="18376A"/>
        </w:rPr>
        <w:t>-       11 % pour les quantités contenues dans les équipements pré-chargés</w:t>
      </w:r>
    </w:p>
    <w:p w14:paraId="0A9B43AE" w14:textId="77777777" w:rsidR="002D22FB" w:rsidRPr="002D22FB" w:rsidRDefault="002D22FB" w:rsidP="002D22FB">
      <w:pPr>
        <w:widowControl w:val="0"/>
        <w:autoSpaceDE w:val="0"/>
        <w:autoSpaceDN w:val="0"/>
        <w:adjustRightInd w:val="0"/>
        <w:rPr>
          <w:rFonts w:ascii="Calibri" w:hAnsi="Calibri" w:cs="Calibri"/>
          <w:sz w:val="18"/>
          <w:szCs w:val="18"/>
          <w:u w:color="18376A"/>
        </w:rPr>
      </w:pPr>
      <w:r w:rsidRPr="002D22FB">
        <w:rPr>
          <w:rFonts w:ascii="Arial" w:hAnsi="Arial" w:cs="Arial"/>
          <w:color w:val="074080"/>
          <w:sz w:val="18"/>
          <w:szCs w:val="18"/>
          <w:u w:color="18376A"/>
        </w:rPr>
        <w:t> </w:t>
      </w:r>
    </w:p>
    <w:p w14:paraId="01800EB5" w14:textId="77777777" w:rsidR="002D22FB" w:rsidRPr="002D22FB" w:rsidRDefault="002D22FB" w:rsidP="002D22FB">
      <w:pPr>
        <w:widowControl w:val="0"/>
        <w:autoSpaceDE w:val="0"/>
        <w:autoSpaceDN w:val="0"/>
        <w:adjustRightInd w:val="0"/>
        <w:rPr>
          <w:rFonts w:ascii="Calibri" w:hAnsi="Calibri" w:cs="Calibri"/>
          <w:sz w:val="18"/>
          <w:szCs w:val="18"/>
          <w:u w:color="18376A"/>
        </w:rPr>
      </w:pPr>
      <w:r w:rsidRPr="002D22FB">
        <w:rPr>
          <w:rFonts w:ascii="Arial" w:hAnsi="Arial" w:cs="Arial"/>
          <w:color w:val="074080"/>
          <w:sz w:val="18"/>
          <w:szCs w:val="18"/>
          <w:u w:color="18376A"/>
        </w:rPr>
        <w:t>Ce dispositif ambitieux entre en vigueur dans moins de deux mois mais l’application de ces quotas se fait déjà ressentir, en particulier sur le marché français.</w:t>
      </w:r>
    </w:p>
    <w:p w14:paraId="28C0D47A" w14:textId="77777777" w:rsidR="002D22FB" w:rsidRPr="002D22FB" w:rsidRDefault="002D22FB" w:rsidP="002D22FB">
      <w:pPr>
        <w:widowControl w:val="0"/>
        <w:autoSpaceDE w:val="0"/>
        <w:autoSpaceDN w:val="0"/>
        <w:adjustRightInd w:val="0"/>
        <w:rPr>
          <w:rFonts w:ascii="Calibri" w:hAnsi="Calibri" w:cs="Calibri"/>
          <w:sz w:val="18"/>
          <w:szCs w:val="18"/>
          <w:u w:color="18376A"/>
        </w:rPr>
      </w:pPr>
      <w:r w:rsidRPr="002D22FB">
        <w:rPr>
          <w:rFonts w:ascii="Arial" w:hAnsi="Arial" w:cs="Arial"/>
          <w:color w:val="074080"/>
          <w:sz w:val="18"/>
          <w:szCs w:val="18"/>
          <w:u w:color="18376A"/>
        </w:rPr>
        <w:t> </w:t>
      </w:r>
    </w:p>
    <w:p w14:paraId="08A411EF" w14:textId="77777777" w:rsidR="002D22FB" w:rsidRPr="002D22FB" w:rsidRDefault="002D22FB" w:rsidP="002D22FB">
      <w:pPr>
        <w:widowControl w:val="0"/>
        <w:autoSpaceDE w:val="0"/>
        <w:autoSpaceDN w:val="0"/>
        <w:adjustRightInd w:val="0"/>
        <w:rPr>
          <w:rFonts w:ascii="Calibri" w:hAnsi="Calibri" w:cs="Calibri"/>
          <w:sz w:val="18"/>
          <w:szCs w:val="18"/>
          <w:u w:color="18376A"/>
        </w:rPr>
      </w:pPr>
      <w:r w:rsidRPr="002D22FB">
        <w:rPr>
          <w:rFonts w:ascii="Arial" w:hAnsi="Arial" w:cs="Arial"/>
          <w:color w:val="074080"/>
          <w:sz w:val="18"/>
          <w:szCs w:val="18"/>
          <w:u w:color="18376A"/>
        </w:rPr>
        <w:t>Les professionnels ont en effet déjà beaucoup de mal à se procurer les fluides frigorigènes indispensables à la maintenance de leurs installations frigorifiques et le coût du R404A, fluide le plus communément utilisé, a subi une inflation de plus de 300 % depuis le 1</w:t>
      </w:r>
      <w:r w:rsidRPr="002D22FB">
        <w:rPr>
          <w:rFonts w:ascii="Arial" w:hAnsi="Arial" w:cs="Arial"/>
          <w:color w:val="074080"/>
          <w:sz w:val="18"/>
          <w:szCs w:val="18"/>
          <w:u w:color="18376A"/>
          <w:vertAlign w:val="superscript"/>
        </w:rPr>
        <w:t>er</w:t>
      </w:r>
      <w:r w:rsidRPr="002D22FB">
        <w:rPr>
          <w:rFonts w:ascii="Arial" w:hAnsi="Arial" w:cs="Arial"/>
          <w:color w:val="074080"/>
          <w:sz w:val="18"/>
          <w:szCs w:val="18"/>
          <w:u w:color="18376A"/>
        </w:rPr>
        <w:t> janvier 2017. Nous considérons que cette inflation est le meilleur facteur de limitation et qu’il se suffit à lui-même.</w:t>
      </w:r>
    </w:p>
    <w:p w14:paraId="1950B2FD" w14:textId="77777777" w:rsidR="002D22FB" w:rsidRPr="002D22FB" w:rsidRDefault="002D22FB" w:rsidP="002D22FB">
      <w:pPr>
        <w:widowControl w:val="0"/>
        <w:autoSpaceDE w:val="0"/>
        <w:autoSpaceDN w:val="0"/>
        <w:adjustRightInd w:val="0"/>
        <w:rPr>
          <w:rFonts w:ascii="Calibri" w:hAnsi="Calibri" w:cs="Calibri"/>
          <w:sz w:val="18"/>
          <w:szCs w:val="18"/>
          <w:u w:color="18376A"/>
        </w:rPr>
      </w:pPr>
      <w:r w:rsidRPr="002D22FB">
        <w:rPr>
          <w:rFonts w:ascii="Arial" w:hAnsi="Arial" w:cs="Arial"/>
          <w:color w:val="074080"/>
          <w:sz w:val="18"/>
          <w:szCs w:val="18"/>
          <w:u w:color="18376A"/>
        </w:rPr>
        <w:t> </w:t>
      </w:r>
    </w:p>
    <w:p w14:paraId="47EF55BC" w14:textId="77777777" w:rsidR="002D22FB" w:rsidRPr="002D22FB" w:rsidRDefault="002D22FB" w:rsidP="002D22FB">
      <w:pPr>
        <w:widowControl w:val="0"/>
        <w:autoSpaceDE w:val="0"/>
        <w:autoSpaceDN w:val="0"/>
        <w:adjustRightInd w:val="0"/>
        <w:rPr>
          <w:rFonts w:ascii="Calibri" w:hAnsi="Calibri" w:cs="Calibri"/>
          <w:sz w:val="18"/>
          <w:szCs w:val="18"/>
          <w:u w:color="074080"/>
        </w:rPr>
      </w:pPr>
      <w:r w:rsidRPr="002D22FB">
        <w:rPr>
          <w:rFonts w:ascii="Arial" w:hAnsi="Arial" w:cs="Arial"/>
          <w:b/>
          <w:bCs/>
          <w:color w:val="074080"/>
          <w:sz w:val="18"/>
          <w:szCs w:val="18"/>
          <w:u w:val="single" w:color="074080"/>
        </w:rPr>
        <w:t>Ainsi donc, les lois du marché et le cadre règlementaire œuvrent conjointement pour dissuader le recours aux HFC et une taxe additionnelle ne ferait que peser sur les capacités financières des entreprises à investir dans des alternatives ; elle constituerait ainsi une double peine et serait qui plus est d’une grande injustice à l’égard d’entreprises qui n’ont choisi ces fluides que par défaut.</w:t>
      </w:r>
    </w:p>
    <w:p w14:paraId="43B8E9DF" w14:textId="77777777" w:rsidR="002D22FB" w:rsidRPr="002D22FB" w:rsidRDefault="002D22FB" w:rsidP="002D22FB">
      <w:pPr>
        <w:widowControl w:val="0"/>
        <w:autoSpaceDE w:val="0"/>
        <w:autoSpaceDN w:val="0"/>
        <w:adjustRightInd w:val="0"/>
        <w:rPr>
          <w:rFonts w:ascii="Calibri" w:hAnsi="Calibri" w:cs="Calibri"/>
          <w:sz w:val="18"/>
          <w:szCs w:val="18"/>
          <w:u w:color="074080"/>
        </w:rPr>
      </w:pPr>
      <w:r w:rsidRPr="002D22FB">
        <w:rPr>
          <w:rFonts w:ascii="Arial" w:hAnsi="Arial" w:cs="Arial"/>
          <w:color w:val="074080"/>
          <w:sz w:val="18"/>
          <w:szCs w:val="18"/>
          <w:u w:color="074080"/>
        </w:rPr>
        <w:t> </w:t>
      </w:r>
    </w:p>
    <w:p w14:paraId="27F0E6A1" w14:textId="77777777" w:rsidR="002D22FB" w:rsidRPr="002D22FB" w:rsidRDefault="002D22FB" w:rsidP="002D22FB">
      <w:pPr>
        <w:widowControl w:val="0"/>
        <w:autoSpaceDE w:val="0"/>
        <w:autoSpaceDN w:val="0"/>
        <w:adjustRightInd w:val="0"/>
        <w:rPr>
          <w:rFonts w:ascii="Calibri" w:hAnsi="Calibri" w:cs="Calibri"/>
          <w:sz w:val="18"/>
          <w:szCs w:val="18"/>
          <w:u w:color="074080"/>
        </w:rPr>
      </w:pPr>
      <w:r w:rsidRPr="002D22FB">
        <w:rPr>
          <w:rFonts w:ascii="Arial" w:hAnsi="Arial" w:cs="Arial"/>
          <w:color w:val="074080"/>
          <w:sz w:val="18"/>
          <w:szCs w:val="18"/>
          <w:u w:color="074080"/>
        </w:rPr>
        <w:t>Nombre d’entre elles ont déjà intégré dans leurs plans d’investissement la conversion progressive de leurs installations vers des solutions sans impact sur l’environnement, lorsqu’elles existent.</w:t>
      </w:r>
    </w:p>
    <w:p w14:paraId="5FCC876D" w14:textId="77777777" w:rsidR="002D22FB" w:rsidRPr="002D22FB" w:rsidRDefault="002D22FB" w:rsidP="002D22FB">
      <w:pPr>
        <w:widowControl w:val="0"/>
        <w:autoSpaceDE w:val="0"/>
        <w:autoSpaceDN w:val="0"/>
        <w:adjustRightInd w:val="0"/>
        <w:rPr>
          <w:rFonts w:ascii="Calibri" w:hAnsi="Calibri" w:cs="Calibri"/>
          <w:sz w:val="18"/>
          <w:szCs w:val="18"/>
          <w:u w:color="074080"/>
        </w:rPr>
      </w:pPr>
      <w:r w:rsidRPr="002D22FB">
        <w:rPr>
          <w:rFonts w:ascii="Arial" w:hAnsi="Arial" w:cs="Arial"/>
          <w:color w:val="074080"/>
          <w:sz w:val="18"/>
          <w:szCs w:val="18"/>
          <w:u w:color="074080"/>
        </w:rPr>
        <w:t>Le calendrier imposé par le règlement 517/2014 court en effet jusqu’en 2030 où les t eq CO</w:t>
      </w:r>
      <w:r w:rsidRPr="002D22FB">
        <w:rPr>
          <w:rFonts w:ascii="Arial" w:hAnsi="Arial" w:cs="Arial"/>
          <w:color w:val="074080"/>
          <w:sz w:val="18"/>
          <w:szCs w:val="18"/>
          <w:u w:color="074080"/>
          <w:vertAlign w:val="subscript"/>
        </w:rPr>
        <w:t>2</w:t>
      </w:r>
      <w:r w:rsidRPr="002D22FB">
        <w:rPr>
          <w:rFonts w:ascii="Arial" w:hAnsi="Arial" w:cs="Arial"/>
          <w:color w:val="074080"/>
          <w:sz w:val="18"/>
          <w:szCs w:val="18"/>
          <w:u w:color="074080"/>
        </w:rPr>
        <w:t> mises sur le marché ne représenteront plus que 21% des quantités mises sur le marché pendant la période de référence.</w:t>
      </w:r>
    </w:p>
    <w:p w14:paraId="447451BD" w14:textId="77777777" w:rsidR="002D22FB" w:rsidRPr="002D22FB" w:rsidRDefault="002D22FB" w:rsidP="002D22FB">
      <w:pPr>
        <w:widowControl w:val="0"/>
        <w:autoSpaceDE w:val="0"/>
        <w:autoSpaceDN w:val="0"/>
        <w:adjustRightInd w:val="0"/>
        <w:rPr>
          <w:rFonts w:ascii="Calibri" w:hAnsi="Calibri" w:cs="Calibri"/>
          <w:sz w:val="18"/>
          <w:szCs w:val="18"/>
          <w:u w:color="074080"/>
        </w:rPr>
      </w:pPr>
      <w:r w:rsidRPr="002D22FB">
        <w:rPr>
          <w:rFonts w:ascii="Arial" w:hAnsi="Arial" w:cs="Arial"/>
          <w:color w:val="074080"/>
          <w:sz w:val="18"/>
          <w:szCs w:val="18"/>
          <w:u w:color="074080"/>
        </w:rPr>
        <w:t> </w:t>
      </w:r>
    </w:p>
    <w:p w14:paraId="3D70A424" w14:textId="77777777" w:rsidR="002D22FB" w:rsidRPr="002D22FB" w:rsidRDefault="002D22FB" w:rsidP="002D22FB">
      <w:pPr>
        <w:widowControl w:val="0"/>
        <w:autoSpaceDE w:val="0"/>
        <w:autoSpaceDN w:val="0"/>
        <w:adjustRightInd w:val="0"/>
        <w:rPr>
          <w:rFonts w:ascii="Calibri" w:hAnsi="Calibri" w:cs="Calibri"/>
          <w:sz w:val="18"/>
          <w:szCs w:val="18"/>
          <w:u w:color="074080"/>
        </w:rPr>
      </w:pPr>
      <w:r w:rsidRPr="002D22FB">
        <w:rPr>
          <w:rFonts w:ascii="Arial" w:hAnsi="Arial" w:cs="Arial"/>
          <w:color w:val="074080"/>
          <w:sz w:val="18"/>
          <w:szCs w:val="18"/>
          <w:u w:color="074080"/>
        </w:rPr>
        <w:t>Nous restons à votre entière disposition pour toute information complémentaire que vous pourriez souhaiter.</w:t>
      </w:r>
    </w:p>
    <w:p w14:paraId="2555C2CF" w14:textId="77777777" w:rsidR="002D22FB" w:rsidRPr="002D22FB" w:rsidRDefault="002D22FB" w:rsidP="002D22FB">
      <w:pPr>
        <w:widowControl w:val="0"/>
        <w:autoSpaceDE w:val="0"/>
        <w:autoSpaceDN w:val="0"/>
        <w:adjustRightInd w:val="0"/>
        <w:rPr>
          <w:rFonts w:ascii="Calibri" w:hAnsi="Calibri" w:cs="Calibri"/>
          <w:sz w:val="18"/>
          <w:szCs w:val="18"/>
          <w:u w:color="074080"/>
        </w:rPr>
      </w:pPr>
      <w:r w:rsidRPr="002D22FB">
        <w:rPr>
          <w:rFonts w:ascii="Arial" w:hAnsi="Arial" w:cs="Arial"/>
          <w:b/>
          <w:bCs/>
          <w:color w:val="074080"/>
          <w:sz w:val="18"/>
          <w:szCs w:val="18"/>
          <w:u w:color="074080"/>
        </w:rPr>
        <w:t> </w:t>
      </w:r>
    </w:p>
    <w:p w14:paraId="661F4ED9" w14:textId="77777777" w:rsidR="002D22FB" w:rsidRPr="002D22FB" w:rsidRDefault="002D22FB" w:rsidP="002D22FB">
      <w:pPr>
        <w:widowControl w:val="0"/>
        <w:autoSpaceDE w:val="0"/>
        <w:autoSpaceDN w:val="0"/>
        <w:adjustRightInd w:val="0"/>
        <w:rPr>
          <w:rFonts w:ascii="Calibri" w:hAnsi="Calibri" w:cs="Calibri"/>
          <w:sz w:val="18"/>
          <w:szCs w:val="18"/>
          <w:u w:color="074080"/>
        </w:rPr>
      </w:pPr>
      <w:r w:rsidRPr="002D22FB">
        <w:rPr>
          <w:rFonts w:ascii="Arial" w:hAnsi="Arial" w:cs="Arial"/>
          <w:b/>
          <w:bCs/>
          <w:i/>
          <w:iCs/>
          <w:color w:val="074080"/>
          <w:sz w:val="18"/>
          <w:szCs w:val="18"/>
          <w:u w:val="single" w:color="074080"/>
        </w:rPr>
        <w:t>QUI SOMMES NOUS </w:t>
      </w:r>
      <w:r w:rsidRPr="002D22FB">
        <w:rPr>
          <w:rFonts w:ascii="Arial" w:hAnsi="Arial" w:cs="Arial"/>
          <w:i/>
          <w:iCs/>
          <w:color w:val="074080"/>
          <w:sz w:val="18"/>
          <w:szCs w:val="18"/>
          <w:u w:color="074080"/>
        </w:rPr>
        <w:t>?</w:t>
      </w:r>
    </w:p>
    <w:p w14:paraId="5A20B7E4" w14:textId="77777777" w:rsidR="002D22FB" w:rsidRPr="002D22FB" w:rsidRDefault="002D22FB" w:rsidP="002D22FB">
      <w:pPr>
        <w:widowControl w:val="0"/>
        <w:autoSpaceDE w:val="0"/>
        <w:autoSpaceDN w:val="0"/>
        <w:adjustRightInd w:val="0"/>
        <w:rPr>
          <w:rFonts w:ascii="Calibri" w:hAnsi="Calibri" w:cs="Calibri"/>
          <w:sz w:val="18"/>
          <w:szCs w:val="18"/>
          <w:u w:color="074080"/>
        </w:rPr>
      </w:pPr>
      <w:r w:rsidRPr="002D22FB">
        <w:rPr>
          <w:rFonts w:ascii="Arial" w:hAnsi="Arial" w:cs="Arial"/>
          <w:i/>
          <w:iCs/>
          <w:color w:val="074080"/>
          <w:sz w:val="18"/>
          <w:szCs w:val="18"/>
          <w:u w:color="074080"/>
        </w:rPr>
        <w:t> </w:t>
      </w:r>
    </w:p>
    <w:p w14:paraId="343B9699" w14:textId="77777777" w:rsidR="002D22FB" w:rsidRPr="002D22FB" w:rsidRDefault="002D22FB" w:rsidP="002D22FB">
      <w:pPr>
        <w:widowControl w:val="0"/>
        <w:autoSpaceDE w:val="0"/>
        <w:autoSpaceDN w:val="0"/>
        <w:adjustRightInd w:val="0"/>
        <w:rPr>
          <w:rFonts w:ascii="Calibri" w:hAnsi="Calibri" w:cs="Calibri"/>
          <w:sz w:val="18"/>
          <w:szCs w:val="18"/>
          <w:u w:color="074080"/>
        </w:rPr>
      </w:pPr>
      <w:r w:rsidRPr="002D22FB">
        <w:rPr>
          <w:rFonts w:ascii="Arial" w:hAnsi="Arial" w:cs="Arial"/>
          <w:i/>
          <w:iCs/>
          <w:color w:val="074080"/>
          <w:sz w:val="18"/>
          <w:szCs w:val="18"/>
          <w:u w:color="074080"/>
        </w:rPr>
        <w:t>Les adhérents de La Chaîne Logistique du Froid représentent :</w:t>
      </w:r>
    </w:p>
    <w:p w14:paraId="6D0D2D37" w14:textId="77777777" w:rsidR="002D22FB" w:rsidRPr="002D22FB" w:rsidRDefault="002D22FB" w:rsidP="002D22FB">
      <w:pPr>
        <w:widowControl w:val="0"/>
        <w:autoSpaceDE w:val="0"/>
        <w:autoSpaceDN w:val="0"/>
        <w:adjustRightInd w:val="0"/>
        <w:rPr>
          <w:rFonts w:ascii="Calibri" w:hAnsi="Calibri" w:cs="Calibri"/>
          <w:sz w:val="18"/>
          <w:szCs w:val="18"/>
          <w:u w:color="074080"/>
        </w:rPr>
      </w:pPr>
      <w:r w:rsidRPr="002D22FB">
        <w:rPr>
          <w:rFonts w:ascii="Arial" w:hAnsi="Arial" w:cs="Arial"/>
          <w:i/>
          <w:iCs/>
          <w:color w:val="074080"/>
          <w:sz w:val="18"/>
          <w:szCs w:val="18"/>
          <w:u w:color="074080"/>
        </w:rPr>
        <w:t>-       plus de 120 entreprises ou groupes de transport ou d’entreposage frigorifique, exploitant plus de 15 000 véhicules et 8 M m</w:t>
      </w:r>
      <w:r w:rsidRPr="002D22FB">
        <w:rPr>
          <w:rFonts w:ascii="Arial" w:hAnsi="Arial" w:cs="Arial"/>
          <w:i/>
          <w:iCs/>
          <w:color w:val="074080"/>
          <w:sz w:val="18"/>
          <w:szCs w:val="18"/>
          <w:u w:color="074080"/>
          <w:vertAlign w:val="superscript"/>
        </w:rPr>
        <w:t>3</w:t>
      </w:r>
      <w:r w:rsidRPr="002D22FB">
        <w:rPr>
          <w:rFonts w:ascii="Arial" w:hAnsi="Arial" w:cs="Arial"/>
          <w:i/>
          <w:iCs/>
          <w:color w:val="074080"/>
          <w:sz w:val="18"/>
          <w:szCs w:val="18"/>
          <w:u w:color="074080"/>
        </w:rPr>
        <w:t xml:space="preserve"> de stockage négatif</w:t>
      </w:r>
    </w:p>
    <w:p w14:paraId="2D8C9BAE" w14:textId="77777777" w:rsidR="002D22FB" w:rsidRPr="002D22FB" w:rsidRDefault="002D22FB" w:rsidP="002D22FB">
      <w:pPr>
        <w:widowControl w:val="0"/>
        <w:autoSpaceDE w:val="0"/>
        <w:autoSpaceDN w:val="0"/>
        <w:adjustRightInd w:val="0"/>
        <w:rPr>
          <w:rFonts w:ascii="Calibri" w:hAnsi="Calibri" w:cs="Calibri"/>
          <w:sz w:val="18"/>
          <w:szCs w:val="18"/>
          <w:u w:color="074080"/>
        </w:rPr>
      </w:pPr>
      <w:r w:rsidRPr="002D22FB">
        <w:rPr>
          <w:rFonts w:ascii="Arial" w:hAnsi="Arial" w:cs="Arial"/>
          <w:i/>
          <w:iCs/>
          <w:color w:val="074080"/>
          <w:sz w:val="18"/>
          <w:szCs w:val="18"/>
          <w:u w:color="074080"/>
        </w:rPr>
        <w:lastRenderedPageBreak/>
        <w:t>-       près de 50 équipementiers et constructeurs</w:t>
      </w:r>
    </w:p>
    <w:p w14:paraId="063D3011" w14:textId="77777777" w:rsidR="002D22FB" w:rsidRPr="002D22FB" w:rsidRDefault="002D22FB" w:rsidP="002D22FB">
      <w:pPr>
        <w:widowControl w:val="0"/>
        <w:autoSpaceDE w:val="0"/>
        <w:autoSpaceDN w:val="0"/>
        <w:adjustRightInd w:val="0"/>
        <w:rPr>
          <w:rFonts w:ascii="Calibri" w:hAnsi="Calibri" w:cs="Calibri"/>
          <w:sz w:val="18"/>
          <w:szCs w:val="18"/>
          <w:u w:color="074080"/>
        </w:rPr>
      </w:pPr>
      <w:r w:rsidRPr="002D22FB">
        <w:rPr>
          <w:rFonts w:ascii="Arial" w:hAnsi="Arial" w:cs="Arial"/>
          <w:i/>
          <w:iCs/>
          <w:color w:val="074080"/>
          <w:sz w:val="18"/>
          <w:szCs w:val="18"/>
          <w:u w:color="074080"/>
        </w:rPr>
        <w:t>-       2 fédérations professionnelles</w:t>
      </w:r>
    </w:p>
    <w:p w14:paraId="7469A515" w14:textId="77777777" w:rsidR="002D22FB" w:rsidRPr="002D22FB" w:rsidRDefault="002D22FB" w:rsidP="002D22FB">
      <w:pPr>
        <w:widowControl w:val="0"/>
        <w:autoSpaceDE w:val="0"/>
        <w:autoSpaceDN w:val="0"/>
        <w:adjustRightInd w:val="0"/>
        <w:rPr>
          <w:rFonts w:ascii="Calibri" w:hAnsi="Calibri" w:cs="Calibri"/>
          <w:sz w:val="18"/>
          <w:szCs w:val="18"/>
          <w:u w:color="074080"/>
        </w:rPr>
      </w:pPr>
      <w:r w:rsidRPr="002D22FB">
        <w:rPr>
          <w:rFonts w:ascii="Arial" w:hAnsi="Arial" w:cs="Arial"/>
          <w:i/>
          <w:iCs/>
          <w:color w:val="074080"/>
          <w:sz w:val="18"/>
          <w:szCs w:val="18"/>
          <w:u w:color="074080"/>
        </w:rPr>
        <w:t>-       le laboratoire d’essai des engins frigorifiques</w:t>
      </w:r>
    </w:p>
    <w:p w14:paraId="13EF1D94" w14:textId="77777777" w:rsidR="002D22FB" w:rsidRPr="002D22FB" w:rsidRDefault="002D22FB" w:rsidP="002D22FB">
      <w:pPr>
        <w:widowControl w:val="0"/>
        <w:autoSpaceDE w:val="0"/>
        <w:autoSpaceDN w:val="0"/>
        <w:adjustRightInd w:val="0"/>
        <w:rPr>
          <w:rFonts w:ascii="Calibri" w:hAnsi="Calibri" w:cs="Calibri"/>
          <w:sz w:val="18"/>
          <w:szCs w:val="18"/>
          <w:u w:color="074080"/>
        </w:rPr>
      </w:pPr>
      <w:r w:rsidRPr="002D22FB">
        <w:rPr>
          <w:rFonts w:ascii="Arial" w:hAnsi="Arial" w:cs="Arial"/>
          <w:i/>
          <w:iCs/>
          <w:color w:val="074080"/>
          <w:sz w:val="18"/>
          <w:szCs w:val="18"/>
          <w:u w:color="074080"/>
        </w:rPr>
        <w:t>Nos clients sont tous les acteurs de la chaîne de l’agroalimentaire depuis la production primaire (fruits et légumes, viandes, produits de la mer) jusqu’à la grande distribution en passant par toutes les étapes de fabrication et de transformation.</w:t>
      </w:r>
    </w:p>
    <w:p w14:paraId="574E6F7C" w14:textId="77777777" w:rsidR="002D22FB" w:rsidRPr="002D22FB" w:rsidRDefault="002D22FB" w:rsidP="002D22FB">
      <w:pPr>
        <w:widowControl w:val="0"/>
        <w:autoSpaceDE w:val="0"/>
        <w:autoSpaceDN w:val="0"/>
        <w:adjustRightInd w:val="0"/>
        <w:rPr>
          <w:rFonts w:ascii="Calibri" w:hAnsi="Calibri" w:cs="Calibri"/>
          <w:sz w:val="18"/>
          <w:szCs w:val="18"/>
          <w:u w:color="074080"/>
        </w:rPr>
      </w:pPr>
      <w:r w:rsidRPr="002D22FB">
        <w:rPr>
          <w:rFonts w:ascii="Arial" w:hAnsi="Arial" w:cs="Arial"/>
          <w:i/>
          <w:iCs/>
          <w:color w:val="074080"/>
          <w:sz w:val="18"/>
          <w:szCs w:val="18"/>
          <w:u w:color="074080"/>
        </w:rPr>
        <w:t>Nos adhérents assurent des prestations de stockage, de congélation / décongélation, de transport, de denrées alimentaires ou de produits de santé.</w:t>
      </w:r>
    </w:p>
    <w:p w14:paraId="7717D524" w14:textId="77777777" w:rsidR="002D22FB" w:rsidRDefault="002D22FB" w:rsidP="002D22FB">
      <w:pPr>
        <w:widowControl w:val="0"/>
        <w:autoSpaceDE w:val="0"/>
        <w:autoSpaceDN w:val="0"/>
        <w:adjustRightInd w:val="0"/>
        <w:rPr>
          <w:rFonts w:ascii="Calibri" w:hAnsi="Calibri" w:cs="Calibri"/>
          <w:sz w:val="32"/>
          <w:szCs w:val="32"/>
          <w:u w:color="074080"/>
        </w:rPr>
      </w:pPr>
      <w:r>
        <w:rPr>
          <w:rFonts w:ascii="Arial" w:hAnsi="Arial" w:cs="Arial"/>
          <w:color w:val="666666"/>
          <w:sz w:val="32"/>
          <w:szCs w:val="32"/>
          <w:u w:color="074080"/>
        </w:rPr>
        <w:t> </w:t>
      </w:r>
    </w:p>
    <w:p w14:paraId="6858B1E6" w14:textId="77777777" w:rsidR="006D2953" w:rsidRDefault="002D22FB" w:rsidP="002D22FB">
      <w:r>
        <w:rPr>
          <w:rFonts w:ascii="Arial" w:hAnsi="Arial" w:cs="Arial"/>
          <w:noProof/>
          <w:color w:val="535353"/>
          <w:sz w:val="32"/>
          <w:szCs w:val="32"/>
          <w:u w:color="074080"/>
        </w:rPr>
        <w:drawing>
          <wp:inline distT="0" distB="0" distL="0" distR="0" wp14:anchorId="2DADAD15" wp14:editId="7AD5C103">
            <wp:extent cx="2476500" cy="838200"/>
            <wp:effectExtent l="0" t="0" r="1270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6500" cy="838200"/>
                    </a:xfrm>
                    <a:prstGeom prst="rect">
                      <a:avLst/>
                    </a:prstGeom>
                    <a:noFill/>
                    <a:ln>
                      <a:noFill/>
                    </a:ln>
                  </pic:spPr>
                </pic:pic>
              </a:graphicData>
            </a:graphic>
          </wp:inline>
        </w:drawing>
      </w:r>
    </w:p>
    <w:sectPr w:rsidR="006D2953" w:rsidSect="006D295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2FB"/>
    <w:rsid w:val="00215EE9"/>
    <w:rsid w:val="002D22FB"/>
    <w:rsid w:val="006D295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FCA3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D22F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D22F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D22F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D22F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ssemblee-nationale.fr/15/amendements/0235C/CION_TOUTE/CF526.asp" TargetMode="Externa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734</Words>
  <Characters>4042</Characters>
  <Application>Microsoft Macintosh Word</Application>
  <DocSecurity>0</DocSecurity>
  <Lines>33</Lines>
  <Paragraphs>9</Paragraphs>
  <ScaleCrop>false</ScaleCrop>
  <Company>USNEF</Company>
  <LinksUpToDate>false</LinksUpToDate>
  <CharactersWithSpaces>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Masson</dc:creator>
  <cp:keywords/>
  <dc:description/>
  <cp:lastModifiedBy>Michelle Masson</cp:lastModifiedBy>
  <cp:revision>2</cp:revision>
  <dcterms:created xsi:type="dcterms:W3CDTF">2017-11-16T08:20:00Z</dcterms:created>
  <dcterms:modified xsi:type="dcterms:W3CDTF">2017-11-16T08:33:00Z</dcterms:modified>
</cp:coreProperties>
</file>