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28C" w:rsidRPr="00F872D7" w:rsidRDefault="002F328C" w:rsidP="009D4E75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</w:rPr>
      </w:pPr>
      <w:r w:rsidRPr="00F872D7">
        <w:rPr>
          <w:rFonts w:asciiTheme="majorHAnsi" w:hAnsiTheme="majorHAnsi"/>
          <w:noProof/>
        </w:rPr>
        <w:drawing>
          <wp:anchor distT="0" distB="0" distL="114300" distR="114300" simplePos="0" relativeHeight="251660288" behindDoc="1" locked="1" layoutInCell="1" allowOverlap="0" wp14:anchorId="13E81A8C" wp14:editId="4A4F31CB">
            <wp:simplePos x="0" y="0"/>
            <wp:positionH relativeFrom="page">
              <wp:align>center</wp:align>
            </wp:positionH>
            <wp:positionV relativeFrom="page">
              <wp:posOffset>295910</wp:posOffset>
            </wp:positionV>
            <wp:extent cx="1449070" cy="1358265"/>
            <wp:effectExtent l="19050" t="0" r="0" b="0"/>
            <wp:wrapNone/>
            <wp:docPr id="2" name="Image 0" descr="LOGO USN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USNE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35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72D7">
        <w:rPr>
          <w:rFonts w:asciiTheme="majorHAnsi" w:hAnsiTheme="majorHAnsi"/>
        </w:rPr>
        <w:tab/>
      </w:r>
    </w:p>
    <w:p w:rsidR="002F328C" w:rsidRPr="00F872D7" w:rsidRDefault="002F328C" w:rsidP="00F872D7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</w:rPr>
      </w:pPr>
    </w:p>
    <w:p w:rsidR="002F328C" w:rsidRPr="00F872D7" w:rsidRDefault="002F328C" w:rsidP="00F872D7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</w:rPr>
      </w:pPr>
    </w:p>
    <w:p w:rsidR="002F328C" w:rsidRPr="00F872D7" w:rsidRDefault="002F328C" w:rsidP="00F872D7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</w:rPr>
      </w:pPr>
    </w:p>
    <w:p w:rsidR="00E32A89" w:rsidRPr="00E32A89" w:rsidRDefault="00E3789C" w:rsidP="00E32A89">
      <w:pPr>
        <w:rPr>
          <w:rFonts w:asciiTheme="majorHAnsi" w:hAnsiTheme="majorHAnsi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1181783</wp:posOffset>
                </wp:positionH>
                <wp:positionV relativeFrom="page">
                  <wp:posOffset>1770429</wp:posOffset>
                </wp:positionV>
                <wp:extent cx="5270500" cy="1577340"/>
                <wp:effectExtent l="25400" t="25400" r="101600" b="9906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1577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FAA26D3D-D897-4be2-8F04-BA451C77F1D7}">
                            <ma14:placeholderFlag xmlns=""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  <a:ext uri="{C572A759-6A51-4108-AA02-DFA0A04FC94B}">
                            <ma14:wrappingTextBoxFlag xmlns=""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:rsidR="00E3789C" w:rsidRPr="00E3789C" w:rsidRDefault="00E3789C" w:rsidP="00E3789C">
                            <w:pPr>
                              <w:jc w:val="center"/>
                              <w:rPr>
                                <w:rFonts w:ascii="Arial Black" w:hAnsi="Arial Black" w:cs="Arial Hebrew"/>
                                <w:sz w:val="24"/>
                              </w:rPr>
                            </w:pPr>
                          </w:p>
                          <w:p w:rsidR="00E3789C" w:rsidRDefault="00E3789C" w:rsidP="00E3789C">
                            <w:pPr>
                              <w:jc w:val="center"/>
                              <w:rPr>
                                <w:rFonts w:ascii="Arial Black" w:hAnsi="Arial Black" w:cs="Arial Hebrew"/>
                                <w:color w:val="365F91" w:themeColor="accent1" w:themeShade="BF"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 w:cs="Arial Hebrew"/>
                                <w:color w:val="365F91" w:themeColor="accent1" w:themeShade="BF"/>
                                <w:sz w:val="32"/>
                              </w:rPr>
                              <w:t>CONVENTION NATIONALE D’OBJECTIFS</w:t>
                            </w:r>
                          </w:p>
                          <w:p w:rsidR="00E3789C" w:rsidRDefault="00E3789C" w:rsidP="00E3789C">
                            <w:pPr>
                              <w:jc w:val="center"/>
                              <w:rPr>
                                <w:rFonts w:ascii="Arial Black" w:hAnsi="Arial Black" w:cs="Arial Hebrew"/>
                                <w:color w:val="365F91" w:themeColor="accent1" w:themeShade="BF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 w:cs="Arial Hebrew"/>
                                <w:color w:val="365F91" w:themeColor="accent1" w:themeShade="BF"/>
                                <w:sz w:val="32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 Black" w:hAnsi="Arial Black" w:cs="Arial Hebrew"/>
                                <w:color w:val="365F91" w:themeColor="accent1" w:themeShade="BF"/>
                                <w:sz w:val="32"/>
                              </w:rPr>
                              <w:t xml:space="preserve"> Contrat de Prévention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93.05pt;margin-top:139.4pt;width:415pt;height:124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" filled="f" strokecolor="#243f60 [1604]">
                <v:shadow on="t" color="black" opacity="26214f" origin="-.5,-.5" offset=".74836mm,.74836mm"/>
                <v:textbox>
                  <w:txbxContent>
                    <w:p w:rsidR="00E3789C" w:rsidRPr="00E3789C" w:rsidRDefault="00E3789C" w:rsidP="00E3789C">
                      <w:pPr>
                        <w:jc w:val="center"/>
                        <w:rPr>
                          <w:rFonts w:ascii="Arial Black" w:hAnsi="Arial Black" w:cs="Arial Hebrew"/>
                          <w:sz w:val="24"/>
                        </w:rPr>
                      </w:pPr>
                    </w:p>
                    <w:p w:rsidR="00E3789C" w:rsidRDefault="00E3789C" w:rsidP="00E3789C">
                      <w:pPr>
                        <w:jc w:val="center"/>
                        <w:rPr>
                          <w:rFonts w:ascii="Arial Black" w:hAnsi="Arial Black" w:cs="Arial Hebrew"/>
                          <w:color w:val="365F91" w:themeColor="accent1" w:themeShade="BF"/>
                          <w:sz w:val="32"/>
                        </w:rPr>
                      </w:pPr>
                      <w:r>
                        <w:rPr>
                          <w:rFonts w:ascii="Arial Black" w:hAnsi="Arial Black" w:cs="Arial Hebrew"/>
                          <w:color w:val="365F91" w:themeColor="accent1" w:themeShade="BF"/>
                          <w:sz w:val="32"/>
                        </w:rPr>
                        <w:t>CONVENTION NATIONALE D’OBJECTIFS</w:t>
                      </w:r>
                    </w:p>
                    <w:p w:rsidR="00E3789C" w:rsidRDefault="00E3789C" w:rsidP="00E3789C">
                      <w:pPr>
                        <w:jc w:val="center"/>
                        <w:rPr>
                          <w:rFonts w:ascii="Arial Black" w:hAnsi="Arial Black" w:cs="Arial Hebrew"/>
                          <w:color w:val="365F91" w:themeColor="accent1" w:themeShade="BF"/>
                          <w:sz w:val="32"/>
                        </w:rPr>
                      </w:pPr>
                      <w:r>
                        <w:rPr>
                          <w:rFonts w:ascii="Arial Black" w:hAnsi="Arial Black" w:cs="Arial Hebrew"/>
                          <w:color w:val="365F91" w:themeColor="accent1" w:themeShade="BF"/>
                          <w:sz w:val="32"/>
                        </w:rPr>
                        <w:t>et Contrat de Prévention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F328C" w:rsidRPr="00F872D7" w:rsidRDefault="002F328C" w:rsidP="00F872D7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</w:rPr>
      </w:pPr>
    </w:p>
    <w:p w:rsidR="00443298" w:rsidRDefault="00443298" w:rsidP="00F872D7">
      <w:pPr>
        <w:spacing w:after="0" w:line="240" w:lineRule="auto"/>
        <w:rPr>
          <w:rFonts w:ascii="Cambria" w:hAnsi="Cambria"/>
        </w:rPr>
      </w:pPr>
    </w:p>
    <w:p w:rsidR="00443298" w:rsidRPr="00443298" w:rsidRDefault="00443298" w:rsidP="00443298">
      <w:pPr>
        <w:rPr>
          <w:rFonts w:ascii="Cambria" w:hAnsi="Cambria"/>
        </w:rPr>
      </w:pPr>
    </w:p>
    <w:p w:rsidR="00443298" w:rsidRPr="00443298" w:rsidRDefault="00443298" w:rsidP="00443298">
      <w:pPr>
        <w:rPr>
          <w:rFonts w:ascii="Cambria" w:hAnsi="Cambria"/>
        </w:rPr>
      </w:pPr>
    </w:p>
    <w:p w:rsidR="00443298" w:rsidRPr="00443298" w:rsidRDefault="00443298" w:rsidP="00443298">
      <w:pPr>
        <w:rPr>
          <w:rFonts w:ascii="Cambria" w:hAnsi="Cambria"/>
        </w:rPr>
      </w:pPr>
    </w:p>
    <w:p w:rsidR="00443298" w:rsidRPr="00443298" w:rsidRDefault="00443298" w:rsidP="00443298">
      <w:pPr>
        <w:rPr>
          <w:rFonts w:ascii="Cambria" w:hAnsi="Cambria"/>
        </w:rPr>
      </w:pPr>
    </w:p>
    <w:p w:rsidR="00E3789C" w:rsidRDefault="00E3789C" w:rsidP="00E3789C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Calibri"/>
          <w:color w:val="365F91" w:themeColor="accent1" w:themeShade="BF"/>
          <w:sz w:val="28"/>
        </w:rPr>
      </w:pPr>
      <w:r>
        <w:rPr>
          <w:rFonts w:asciiTheme="majorHAnsi" w:hAnsiTheme="majorHAnsi" w:cs="Calibri"/>
          <w:color w:val="365F91" w:themeColor="accent1" w:themeShade="BF"/>
          <w:sz w:val="28"/>
        </w:rPr>
        <w:t xml:space="preserve">L’USNEF et la CNAM TS ont signé </w:t>
      </w:r>
      <w:r w:rsidR="008F57E7">
        <w:rPr>
          <w:rFonts w:asciiTheme="majorHAnsi" w:hAnsiTheme="majorHAnsi" w:cs="Calibri"/>
          <w:color w:val="365F91" w:themeColor="accent1" w:themeShade="BF"/>
          <w:sz w:val="28"/>
        </w:rPr>
        <w:t>en septembre 2016</w:t>
      </w:r>
      <w:r>
        <w:rPr>
          <w:rFonts w:asciiTheme="majorHAnsi" w:hAnsiTheme="majorHAnsi" w:cs="Calibri"/>
          <w:color w:val="365F91" w:themeColor="accent1" w:themeShade="BF"/>
          <w:sz w:val="28"/>
        </w:rPr>
        <w:t xml:space="preserve"> une Convention Nationale d’Objectifs, témoin de l’engagement de la branche en matière de prévention des risques.</w:t>
      </w:r>
    </w:p>
    <w:p w:rsidR="008F57E7" w:rsidRDefault="008F57E7" w:rsidP="00E3789C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Calibri"/>
          <w:color w:val="365F91" w:themeColor="accent1" w:themeShade="BF"/>
          <w:sz w:val="28"/>
        </w:rPr>
      </w:pPr>
      <w:r>
        <w:rPr>
          <w:rFonts w:asciiTheme="majorHAnsi" w:hAnsiTheme="majorHAnsi" w:cs="Calibri"/>
          <w:color w:val="365F91" w:themeColor="accent1" w:themeShade="BF"/>
          <w:sz w:val="28"/>
        </w:rPr>
        <w:t>Cette CNO est valable 4 ans.</w:t>
      </w:r>
    </w:p>
    <w:p w:rsidR="00E3789C" w:rsidRDefault="00E3789C" w:rsidP="00E3789C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Calibri"/>
          <w:color w:val="365F91" w:themeColor="accent1" w:themeShade="BF"/>
          <w:sz w:val="28"/>
        </w:rPr>
      </w:pPr>
    </w:p>
    <w:p w:rsidR="00B74796" w:rsidRPr="000F30D6" w:rsidRDefault="00E3789C" w:rsidP="00E3789C">
      <w:pPr>
        <w:tabs>
          <w:tab w:val="left" w:pos="5387"/>
        </w:tabs>
        <w:jc w:val="both"/>
        <w:rPr>
          <w:rFonts w:asciiTheme="majorHAnsi" w:hAnsiTheme="majorHAnsi" w:cs="Calibri"/>
          <w:color w:val="365F91" w:themeColor="accent1" w:themeShade="BF"/>
          <w:sz w:val="28"/>
        </w:rPr>
      </w:pPr>
      <w:r>
        <w:rPr>
          <w:rFonts w:asciiTheme="majorHAnsi" w:hAnsiTheme="majorHAnsi" w:cs="Calibri"/>
          <w:color w:val="365F91" w:themeColor="accent1" w:themeShade="BF"/>
          <w:sz w:val="28"/>
        </w:rPr>
        <w:t xml:space="preserve">La signature de cette CNO ouvre aux </w:t>
      </w:r>
      <w:r w:rsidRPr="00942773">
        <w:rPr>
          <w:rFonts w:asciiTheme="majorHAnsi" w:hAnsiTheme="majorHAnsi" w:cs="Calibri"/>
          <w:b/>
          <w:color w:val="365F91" w:themeColor="accent1" w:themeShade="BF"/>
          <w:sz w:val="28"/>
        </w:rPr>
        <w:t>entreprises de</w:t>
      </w:r>
      <w:r>
        <w:rPr>
          <w:rFonts w:asciiTheme="majorHAnsi" w:hAnsiTheme="majorHAnsi" w:cs="Calibri"/>
          <w:color w:val="365F91" w:themeColor="accent1" w:themeShade="BF"/>
          <w:sz w:val="28"/>
        </w:rPr>
        <w:t xml:space="preserve"> </w:t>
      </w:r>
      <w:r w:rsidRPr="00942773">
        <w:rPr>
          <w:rFonts w:asciiTheme="majorHAnsi" w:hAnsiTheme="majorHAnsi" w:cs="Calibri"/>
          <w:b/>
          <w:color w:val="365F91" w:themeColor="accent1" w:themeShade="BF"/>
          <w:sz w:val="28"/>
        </w:rPr>
        <w:t>moins de 200 salariés</w:t>
      </w:r>
      <w:r>
        <w:rPr>
          <w:rFonts w:asciiTheme="majorHAnsi" w:hAnsiTheme="majorHAnsi" w:cs="Calibri"/>
          <w:color w:val="365F91" w:themeColor="accent1" w:themeShade="BF"/>
          <w:sz w:val="28"/>
        </w:rPr>
        <w:t xml:space="preserve"> la possibilité de solliciter un accompagnement technique et financier des CARSAT dans le cadre de leur Contrat de Prévention. </w:t>
      </w:r>
    </w:p>
    <w:p w:rsidR="00443298" w:rsidRPr="00443298" w:rsidRDefault="008F57E7" w:rsidP="00443298">
      <w:pPr>
        <w:rPr>
          <w:rFonts w:ascii="Cambria" w:hAnsi="Cambri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939975</wp:posOffset>
                </wp:positionH>
                <wp:positionV relativeFrom="paragraph">
                  <wp:posOffset>17145</wp:posOffset>
                </wp:positionV>
                <wp:extent cx="3081600" cy="514800"/>
                <wp:effectExtent l="25400" t="25400" r="106680" b="1079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600" cy="51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=""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89C" w:rsidRDefault="00E3789C" w:rsidP="00E3789C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Quelles conditions remplir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74pt;margin-top:1.35pt;width:242.65pt;height:40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" fillcolor="#365f91 [2404]" strokecolor="#365f91 [2404]">
                <v:shadow on="t" color="black" opacity="28180f" origin="-.5,-.5" offset=".74836mm,.74836mm"/>
                <v:textbox inset="2.5mm">
                  <w:txbxContent>
                    <w:p w:rsidR="00E3789C" w:rsidRDefault="00E3789C" w:rsidP="00E3789C">
                      <w:pPr>
                        <w:rPr>
                          <w:b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Quelles conditions remplir 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43298" w:rsidRPr="00443298" w:rsidRDefault="00443298" w:rsidP="00443298">
      <w:pPr>
        <w:rPr>
          <w:rFonts w:ascii="Cambria" w:hAnsi="Cambria"/>
        </w:rPr>
      </w:pPr>
    </w:p>
    <w:p w:rsidR="00E3789C" w:rsidRDefault="00E3789C" w:rsidP="00E3789C">
      <w:pPr>
        <w:pStyle w:val="Paragraphedeliste"/>
        <w:numPr>
          <w:ilvl w:val="0"/>
          <w:numId w:val="3"/>
        </w:numPr>
        <w:tabs>
          <w:tab w:val="left" w:pos="5387"/>
        </w:tabs>
        <w:spacing w:after="0" w:line="240" w:lineRule="auto"/>
        <w:jc w:val="both"/>
        <w:rPr>
          <w:rFonts w:asciiTheme="majorHAnsi" w:hAnsiTheme="majorHAnsi" w:cs="Calibri"/>
          <w:color w:val="365F91" w:themeColor="accent1" w:themeShade="BF"/>
          <w:sz w:val="28"/>
        </w:rPr>
      </w:pPr>
      <w:proofErr w:type="gramStart"/>
      <w:r>
        <w:rPr>
          <w:rFonts w:asciiTheme="majorHAnsi" w:hAnsiTheme="majorHAnsi" w:cs="Calibri"/>
          <w:color w:val="365F91" w:themeColor="accent1" w:themeShade="BF"/>
          <w:sz w:val="28"/>
        </w:rPr>
        <w:t>relever</w:t>
      </w:r>
      <w:proofErr w:type="gramEnd"/>
      <w:r>
        <w:rPr>
          <w:rFonts w:asciiTheme="majorHAnsi" w:hAnsiTheme="majorHAnsi" w:cs="Calibri"/>
          <w:color w:val="365F91" w:themeColor="accent1" w:themeShade="BF"/>
          <w:sz w:val="28"/>
        </w:rPr>
        <w:t xml:space="preserve"> du code d’activité 52-10A</w:t>
      </w:r>
    </w:p>
    <w:p w:rsidR="00E3789C" w:rsidRDefault="00B74796" w:rsidP="00E3789C">
      <w:pPr>
        <w:pStyle w:val="Paragraphedeliste"/>
        <w:numPr>
          <w:ilvl w:val="0"/>
          <w:numId w:val="3"/>
        </w:numPr>
        <w:tabs>
          <w:tab w:val="left" w:pos="5387"/>
        </w:tabs>
        <w:spacing w:after="0" w:line="240" w:lineRule="auto"/>
        <w:jc w:val="both"/>
        <w:rPr>
          <w:rFonts w:asciiTheme="majorHAnsi" w:hAnsiTheme="majorHAnsi" w:cs="Calibri"/>
          <w:color w:val="365F91" w:themeColor="accent1" w:themeShade="BF"/>
          <w:sz w:val="28"/>
        </w:rPr>
      </w:pPr>
      <w:proofErr w:type="gramStart"/>
      <w:r>
        <w:rPr>
          <w:rFonts w:asciiTheme="majorHAnsi" w:hAnsiTheme="majorHAnsi" w:cs="Calibri"/>
          <w:color w:val="365F91" w:themeColor="accent1" w:themeShade="BF"/>
          <w:sz w:val="28"/>
        </w:rPr>
        <w:t>compter</w:t>
      </w:r>
      <w:proofErr w:type="gramEnd"/>
      <w:r>
        <w:rPr>
          <w:rFonts w:asciiTheme="majorHAnsi" w:hAnsiTheme="majorHAnsi" w:cs="Calibri"/>
          <w:color w:val="365F91" w:themeColor="accent1" w:themeShade="BF"/>
          <w:sz w:val="28"/>
        </w:rPr>
        <w:t xml:space="preserve"> </w:t>
      </w:r>
      <w:r w:rsidR="00E3789C">
        <w:rPr>
          <w:rFonts w:asciiTheme="majorHAnsi" w:hAnsiTheme="majorHAnsi" w:cs="Calibri"/>
          <w:color w:val="365F91" w:themeColor="accent1" w:themeShade="BF"/>
          <w:sz w:val="28"/>
        </w:rPr>
        <w:t>moins de 200 salariés dans l’entreprise (n° SIREN)</w:t>
      </w:r>
    </w:p>
    <w:p w:rsidR="00E3789C" w:rsidRDefault="00E3789C" w:rsidP="00E3789C">
      <w:pPr>
        <w:pStyle w:val="Paragraphedeliste"/>
        <w:numPr>
          <w:ilvl w:val="0"/>
          <w:numId w:val="3"/>
        </w:numPr>
        <w:tabs>
          <w:tab w:val="left" w:pos="5387"/>
        </w:tabs>
        <w:spacing w:after="0" w:line="240" w:lineRule="auto"/>
        <w:jc w:val="both"/>
        <w:rPr>
          <w:rFonts w:asciiTheme="majorHAnsi" w:hAnsiTheme="majorHAnsi" w:cs="Calibri"/>
          <w:color w:val="365F91" w:themeColor="accent1" w:themeShade="BF"/>
          <w:sz w:val="28"/>
        </w:rPr>
      </w:pPr>
      <w:proofErr w:type="gramStart"/>
      <w:r>
        <w:rPr>
          <w:rFonts w:asciiTheme="majorHAnsi" w:hAnsiTheme="majorHAnsi" w:cs="Calibri"/>
          <w:color w:val="365F91" w:themeColor="accent1" w:themeShade="BF"/>
          <w:sz w:val="28"/>
        </w:rPr>
        <w:t>disposer</w:t>
      </w:r>
      <w:proofErr w:type="gramEnd"/>
      <w:r>
        <w:rPr>
          <w:rFonts w:asciiTheme="majorHAnsi" w:hAnsiTheme="majorHAnsi" w:cs="Calibri"/>
          <w:color w:val="365F91" w:themeColor="accent1" w:themeShade="BF"/>
          <w:sz w:val="28"/>
        </w:rPr>
        <w:t xml:space="preserve"> d’un Document Unique d’</w:t>
      </w:r>
      <w:r w:rsidR="00942773">
        <w:rPr>
          <w:rFonts w:asciiTheme="majorHAnsi" w:hAnsiTheme="majorHAnsi" w:cs="Calibri"/>
          <w:color w:val="365F91" w:themeColor="accent1" w:themeShade="BF"/>
          <w:sz w:val="28"/>
        </w:rPr>
        <w:t>Évaluation</w:t>
      </w:r>
      <w:r>
        <w:rPr>
          <w:rFonts w:asciiTheme="majorHAnsi" w:hAnsiTheme="majorHAnsi" w:cs="Calibri"/>
          <w:color w:val="365F91" w:themeColor="accent1" w:themeShade="BF"/>
          <w:sz w:val="28"/>
        </w:rPr>
        <w:t xml:space="preserve"> des Risques (DUER) à jour</w:t>
      </w:r>
    </w:p>
    <w:p w:rsidR="00E3789C" w:rsidRDefault="00E3789C" w:rsidP="00E3789C">
      <w:pPr>
        <w:pStyle w:val="Paragraphedeliste"/>
        <w:numPr>
          <w:ilvl w:val="0"/>
          <w:numId w:val="3"/>
        </w:numPr>
        <w:tabs>
          <w:tab w:val="left" w:pos="5387"/>
        </w:tabs>
        <w:spacing w:after="0" w:line="240" w:lineRule="auto"/>
        <w:jc w:val="both"/>
        <w:rPr>
          <w:rFonts w:asciiTheme="majorHAnsi" w:hAnsiTheme="majorHAnsi" w:cs="Calibri"/>
          <w:color w:val="365F91" w:themeColor="accent1" w:themeShade="BF"/>
          <w:sz w:val="28"/>
        </w:rPr>
      </w:pPr>
      <w:proofErr w:type="gramStart"/>
      <w:r>
        <w:rPr>
          <w:rFonts w:asciiTheme="majorHAnsi" w:hAnsiTheme="majorHAnsi" w:cs="Calibri"/>
          <w:color w:val="365F91" w:themeColor="accent1" w:themeShade="BF"/>
          <w:sz w:val="28"/>
        </w:rPr>
        <w:t>être</w:t>
      </w:r>
      <w:proofErr w:type="gramEnd"/>
      <w:r>
        <w:rPr>
          <w:rFonts w:asciiTheme="majorHAnsi" w:hAnsiTheme="majorHAnsi" w:cs="Calibri"/>
          <w:color w:val="365F91" w:themeColor="accent1" w:themeShade="BF"/>
          <w:sz w:val="28"/>
        </w:rPr>
        <w:t xml:space="preserve"> à jour de ses cotisations et autres obligations sociales</w:t>
      </w:r>
    </w:p>
    <w:p w:rsidR="000F30D6" w:rsidRPr="000F30D6" w:rsidRDefault="00E3789C" w:rsidP="000F30D6">
      <w:pPr>
        <w:pStyle w:val="Paragraphedeliste"/>
        <w:numPr>
          <w:ilvl w:val="0"/>
          <w:numId w:val="3"/>
        </w:numPr>
        <w:tabs>
          <w:tab w:val="left" w:pos="5387"/>
        </w:tabs>
        <w:spacing w:after="0" w:line="240" w:lineRule="auto"/>
        <w:jc w:val="both"/>
        <w:rPr>
          <w:rFonts w:asciiTheme="majorHAnsi" w:hAnsiTheme="majorHAnsi" w:cs="Calibri"/>
          <w:color w:val="365F91" w:themeColor="accent1" w:themeShade="BF"/>
          <w:sz w:val="28"/>
        </w:rPr>
      </w:pPr>
      <w:proofErr w:type="gramStart"/>
      <w:r>
        <w:rPr>
          <w:rFonts w:asciiTheme="majorHAnsi" w:hAnsiTheme="majorHAnsi" w:cs="Calibri"/>
          <w:color w:val="365F91" w:themeColor="accent1" w:themeShade="BF"/>
          <w:sz w:val="28"/>
        </w:rPr>
        <w:t>avoir</w:t>
      </w:r>
      <w:proofErr w:type="gramEnd"/>
      <w:r>
        <w:rPr>
          <w:rFonts w:asciiTheme="majorHAnsi" w:hAnsiTheme="majorHAnsi" w:cs="Calibri"/>
          <w:color w:val="365F91" w:themeColor="accent1" w:themeShade="BF"/>
          <w:sz w:val="28"/>
        </w:rPr>
        <w:t xml:space="preserve"> consulté votre CHSCT ou vos DP</w:t>
      </w:r>
    </w:p>
    <w:p w:rsidR="00443298" w:rsidRDefault="000F30D6" w:rsidP="00443298">
      <w:pPr>
        <w:rPr>
          <w:rFonts w:ascii="Cambria" w:hAnsi="Cambri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1002430</wp:posOffset>
                </wp:positionH>
                <wp:positionV relativeFrom="paragraph">
                  <wp:posOffset>267505</wp:posOffset>
                </wp:positionV>
                <wp:extent cx="3081600" cy="514800"/>
                <wp:effectExtent l="25400" t="25400" r="106680" b="1079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600" cy="51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=""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89C" w:rsidRDefault="00E3789C" w:rsidP="00E3789C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Comment faire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78.95pt;margin-top:21.05pt;width:242.65pt;height:40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" fillcolor="#365f91 [2404]" strokecolor="#365f91 [2404]">
                <v:shadow on="t" color="black" opacity="28180f" origin="-.5,-.5" offset=".74836mm,.74836mm"/>
                <v:textbox>
                  <w:txbxContent>
                    <w:p w:rsidR="00E3789C" w:rsidRDefault="00E3789C" w:rsidP="00E3789C">
                      <w:pPr>
                        <w:rPr>
                          <w:b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Comment faire 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3789C" w:rsidRPr="00443298" w:rsidRDefault="00E3789C" w:rsidP="00443298">
      <w:pPr>
        <w:rPr>
          <w:rFonts w:ascii="Cambria" w:hAnsi="Cambria"/>
        </w:rPr>
      </w:pPr>
    </w:p>
    <w:p w:rsidR="00443298" w:rsidRPr="00443298" w:rsidRDefault="00443298" w:rsidP="00443298">
      <w:pPr>
        <w:rPr>
          <w:rFonts w:ascii="Cambria" w:hAnsi="Cambria"/>
        </w:rPr>
      </w:pPr>
    </w:p>
    <w:p w:rsidR="00E3789C" w:rsidRDefault="00E3789C" w:rsidP="00E3789C">
      <w:pPr>
        <w:pStyle w:val="Paragraphedeliste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Theme="majorHAnsi" w:hAnsiTheme="majorHAnsi" w:cs="Calibri"/>
          <w:color w:val="365F91" w:themeColor="accent1" w:themeShade="BF"/>
          <w:sz w:val="28"/>
          <w:szCs w:val="28"/>
        </w:rPr>
      </w:pPr>
      <w:r>
        <w:rPr>
          <w:rFonts w:asciiTheme="majorHAnsi" w:hAnsiTheme="majorHAnsi" w:cs="Calibri"/>
          <w:b/>
          <w:i/>
          <w:color w:val="365F91" w:themeColor="accent1" w:themeShade="BF"/>
          <w:sz w:val="28"/>
          <w:szCs w:val="28"/>
        </w:rPr>
        <w:t>Écrivez à votre CARSAT</w:t>
      </w:r>
      <w:r w:rsidR="00942773">
        <w:rPr>
          <w:rStyle w:val="Appelnotedebasdep"/>
          <w:rFonts w:asciiTheme="majorHAnsi" w:hAnsiTheme="majorHAnsi" w:cs="Calibri"/>
          <w:b/>
          <w:i/>
          <w:color w:val="365F91" w:themeColor="accent1" w:themeShade="BF"/>
          <w:sz w:val="28"/>
          <w:szCs w:val="28"/>
        </w:rPr>
        <w:footnoteReference w:id="1"/>
      </w:r>
      <w:r>
        <w:rPr>
          <w:rFonts w:asciiTheme="majorHAnsi" w:hAnsiTheme="majorHAnsi" w:cs="Calibri"/>
          <w:color w:val="365F91" w:themeColor="accent1" w:themeShade="BF"/>
          <w:sz w:val="28"/>
          <w:szCs w:val="28"/>
        </w:rPr>
        <w:t xml:space="preserve"> en indiquant que vous vous inscrivez dans une démarche de CNO de la branche des entrepôts frigorifiques et présentez votre projet</w:t>
      </w:r>
    </w:p>
    <w:p w:rsidR="00E3789C" w:rsidRDefault="00E3789C" w:rsidP="00E3789C">
      <w:pPr>
        <w:pStyle w:val="Paragraphedeliste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Theme="majorHAnsi" w:hAnsiTheme="majorHAnsi" w:cs="Calibri"/>
          <w:color w:val="365F91" w:themeColor="accent1" w:themeShade="BF"/>
          <w:sz w:val="28"/>
          <w:szCs w:val="28"/>
        </w:rPr>
      </w:pPr>
      <w:r>
        <w:rPr>
          <w:rFonts w:asciiTheme="majorHAnsi" w:hAnsiTheme="majorHAnsi" w:cs="Calibri"/>
          <w:color w:val="365F91" w:themeColor="accent1" w:themeShade="BF"/>
          <w:sz w:val="28"/>
          <w:szCs w:val="28"/>
        </w:rPr>
        <w:lastRenderedPageBreak/>
        <w:t xml:space="preserve">Le contrôleur de sécurité de </w:t>
      </w:r>
      <w:r w:rsidR="00942773">
        <w:rPr>
          <w:rFonts w:asciiTheme="majorHAnsi" w:hAnsiTheme="majorHAnsi" w:cs="Calibri"/>
          <w:color w:val="365F91" w:themeColor="accent1" w:themeShade="BF"/>
          <w:sz w:val="28"/>
          <w:szCs w:val="28"/>
        </w:rPr>
        <w:t>la</w:t>
      </w:r>
      <w:r>
        <w:rPr>
          <w:rFonts w:asciiTheme="majorHAnsi" w:hAnsiTheme="majorHAnsi" w:cs="Calibri"/>
          <w:color w:val="365F91" w:themeColor="accent1" w:themeShade="BF"/>
          <w:sz w:val="28"/>
          <w:szCs w:val="28"/>
        </w:rPr>
        <w:t xml:space="preserve"> CARSAT dont vous dépendez prend contact avec vous pour </w:t>
      </w:r>
      <w:r>
        <w:rPr>
          <w:rFonts w:asciiTheme="majorHAnsi" w:hAnsiTheme="majorHAnsi" w:cs="Calibri"/>
          <w:b/>
          <w:i/>
          <w:color w:val="365F91" w:themeColor="accent1" w:themeShade="BF"/>
          <w:sz w:val="28"/>
          <w:szCs w:val="28"/>
        </w:rPr>
        <w:t>visiter votre entreprise</w:t>
      </w:r>
      <w:r>
        <w:rPr>
          <w:rFonts w:asciiTheme="majorHAnsi" w:hAnsiTheme="majorHAnsi" w:cs="Calibri"/>
          <w:color w:val="365F91" w:themeColor="accent1" w:themeShade="BF"/>
          <w:sz w:val="28"/>
          <w:szCs w:val="28"/>
        </w:rPr>
        <w:t xml:space="preserve"> et identifier les actions à mettre en œuvre en priorité.</w:t>
      </w:r>
    </w:p>
    <w:p w:rsidR="00E3789C" w:rsidRDefault="00E3789C" w:rsidP="00E3789C">
      <w:pPr>
        <w:pStyle w:val="Paragraphedeliste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Theme="majorHAnsi" w:hAnsiTheme="majorHAnsi" w:cs="Calibri"/>
          <w:color w:val="365F91" w:themeColor="accent1" w:themeShade="BF"/>
          <w:sz w:val="28"/>
          <w:szCs w:val="28"/>
        </w:rPr>
      </w:pPr>
      <w:r>
        <w:rPr>
          <w:rFonts w:asciiTheme="majorHAnsi" w:hAnsiTheme="majorHAnsi" w:cs="Calibri"/>
          <w:color w:val="365F91" w:themeColor="accent1" w:themeShade="BF"/>
          <w:sz w:val="28"/>
          <w:szCs w:val="28"/>
        </w:rPr>
        <w:t>Si toutes les conditions préalables sont remplies, la CARSAT vous aidera à mettre en place votre projet « santé/sécurité </w:t>
      </w:r>
      <w:proofErr w:type="gramStart"/>
      <w:r>
        <w:rPr>
          <w:rFonts w:asciiTheme="majorHAnsi" w:hAnsiTheme="majorHAnsi" w:cs="Calibri"/>
          <w:color w:val="365F91" w:themeColor="accent1" w:themeShade="BF"/>
          <w:sz w:val="28"/>
          <w:szCs w:val="28"/>
        </w:rPr>
        <w:t>«  et</w:t>
      </w:r>
      <w:proofErr w:type="gramEnd"/>
      <w:r>
        <w:rPr>
          <w:rFonts w:asciiTheme="majorHAnsi" w:hAnsiTheme="majorHAnsi" w:cs="Calibri"/>
          <w:color w:val="365F91" w:themeColor="accent1" w:themeShade="BF"/>
          <w:sz w:val="28"/>
          <w:szCs w:val="28"/>
        </w:rPr>
        <w:t xml:space="preserve"> vous proposera de </w:t>
      </w:r>
      <w:r>
        <w:rPr>
          <w:rFonts w:asciiTheme="majorHAnsi" w:hAnsiTheme="majorHAnsi" w:cs="Calibri"/>
          <w:b/>
          <w:i/>
          <w:color w:val="365F91" w:themeColor="accent1" w:themeShade="BF"/>
          <w:sz w:val="28"/>
          <w:szCs w:val="28"/>
        </w:rPr>
        <w:t>signer un contrat de prévention</w:t>
      </w:r>
      <w:r>
        <w:rPr>
          <w:rFonts w:asciiTheme="majorHAnsi" w:hAnsiTheme="majorHAnsi" w:cs="Calibri"/>
          <w:color w:val="365F91" w:themeColor="accent1" w:themeShade="BF"/>
          <w:sz w:val="28"/>
          <w:szCs w:val="28"/>
        </w:rPr>
        <w:t xml:space="preserve">. Ensemble, vous définirez les priorités à retenir, les objectifs à atteindre à la fin du contrat pour réduire les risques professionnels et les accidents du travail. La CARSAT peut même vous aider à constituer votre dossier, étudier les devis et vous conseiller. </w:t>
      </w:r>
    </w:p>
    <w:p w:rsidR="00E3789C" w:rsidRDefault="00942773" w:rsidP="00E3789C">
      <w:pPr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2619375</wp:posOffset>
                </wp:positionH>
                <wp:positionV relativeFrom="paragraph">
                  <wp:posOffset>255905</wp:posOffset>
                </wp:positionV>
                <wp:extent cx="2538095" cy="970915"/>
                <wp:effectExtent l="38100" t="38100" r="98425" b="9588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9709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=""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89C" w:rsidRDefault="00E3789C" w:rsidP="00E378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72"/>
                              </w:rPr>
                              <w:t>!</w:t>
                            </w:r>
                          </w:p>
                          <w:p w:rsidR="00E3789C" w:rsidRDefault="00E3789C" w:rsidP="00E3789C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96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8"/>
                                <w:szCs w:val="72"/>
                              </w:rPr>
                              <w:t>La durée d’un contrat de prévention est des 3 ans.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9" type="#_x0000_t202" style="position:absolute;margin-left:206.25pt;margin-top:20.15pt;width:199.85pt;height:76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" filled="f" strokecolor="#4f81bd [3204]" strokeweight="2pt">
                <v:shadow on="t" color="black" opacity="28180f" origin="-.5,-.5" offset=".74836mm,.74836mm"/>
                <v:textbox>
                  <w:txbxContent>
                    <w:p w:rsidR="00E3789C" w:rsidRDefault="00E3789C" w:rsidP="00E3789C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44"/>
                          <w:szCs w:val="72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  <w:szCs w:val="72"/>
                        </w:rPr>
                        <w:t>!</w:t>
                      </w:r>
                    </w:p>
                    <w:p w:rsidR="00E3789C" w:rsidRDefault="00E3789C" w:rsidP="00E3789C">
                      <w:pPr>
                        <w:jc w:val="center"/>
                        <w:rPr>
                          <w:b/>
                          <w:color w:val="365F91" w:themeColor="accent1" w:themeShade="BF"/>
                          <w:sz w:val="96"/>
                          <w:szCs w:val="72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28"/>
                          <w:szCs w:val="72"/>
                        </w:rPr>
                        <w:t>La durée d’un contrat de prévention est des 3 ans.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43298" w:rsidRPr="00443298" w:rsidRDefault="00443298" w:rsidP="00443298">
      <w:pPr>
        <w:rPr>
          <w:rFonts w:ascii="Cambria" w:hAnsi="Cambria"/>
        </w:rPr>
      </w:pPr>
    </w:p>
    <w:p w:rsidR="00443298" w:rsidRPr="00443298" w:rsidRDefault="00443298" w:rsidP="00443298">
      <w:pPr>
        <w:rPr>
          <w:rFonts w:ascii="Cambria" w:hAnsi="Cambria"/>
        </w:rPr>
      </w:pPr>
    </w:p>
    <w:p w:rsidR="00443298" w:rsidRPr="00443298" w:rsidRDefault="00443298" w:rsidP="00443298">
      <w:pPr>
        <w:rPr>
          <w:rFonts w:ascii="Cambria" w:hAnsi="Cambria"/>
        </w:rPr>
      </w:pPr>
    </w:p>
    <w:p w:rsidR="00443298" w:rsidRPr="00443298" w:rsidRDefault="000F30D6" w:rsidP="00443298">
      <w:pPr>
        <w:rPr>
          <w:rFonts w:ascii="Cambria" w:hAnsi="Cambri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935786</wp:posOffset>
                </wp:positionH>
                <wp:positionV relativeFrom="paragraph">
                  <wp:posOffset>284028</wp:posOffset>
                </wp:positionV>
                <wp:extent cx="3082290" cy="515620"/>
                <wp:effectExtent l="25400" t="25400" r="105410" b="10668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290" cy="515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=""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89C" w:rsidRDefault="00E3789C" w:rsidP="00E3789C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Quelques mises en garde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0" type="#_x0000_t202" style="position:absolute;margin-left:73.7pt;margin-top:22.35pt;width:242.7pt;height:40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" fillcolor="#365f91 [2404]" strokecolor="#365f91 [2404]">
                <v:shadow on="t" color="black" opacity="28180f" origin="-.5,-.5" offset=".74836mm,.74836mm"/>
                <v:textbox>
                  <w:txbxContent>
                    <w:p w:rsidR="00E3789C" w:rsidRDefault="00E3789C" w:rsidP="00E3789C">
                      <w:pPr>
                        <w:rPr>
                          <w:b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Quelques mises en garde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43298" w:rsidRDefault="00443298" w:rsidP="00443298">
      <w:pPr>
        <w:rPr>
          <w:rFonts w:ascii="Cambria" w:hAnsi="Cambria"/>
        </w:rPr>
      </w:pPr>
    </w:p>
    <w:p w:rsidR="00942773" w:rsidRDefault="00942773" w:rsidP="00443298">
      <w:pPr>
        <w:rPr>
          <w:rFonts w:ascii="Cambria" w:hAnsi="Cambria"/>
        </w:rPr>
      </w:pPr>
    </w:p>
    <w:p w:rsidR="00E3789C" w:rsidRPr="00B74796" w:rsidRDefault="00E3789C" w:rsidP="00E3789C">
      <w:pPr>
        <w:pStyle w:val="Paragraphedeliste"/>
        <w:numPr>
          <w:ilvl w:val="0"/>
          <w:numId w:val="5"/>
        </w:numPr>
        <w:rPr>
          <w:sz w:val="24"/>
          <w:u w:val="single"/>
        </w:rPr>
      </w:pPr>
      <w:r>
        <w:rPr>
          <w:rFonts w:asciiTheme="majorHAnsi" w:hAnsiTheme="majorHAnsi" w:cs="Calibri"/>
          <w:color w:val="365F91" w:themeColor="accent1" w:themeShade="BF"/>
          <w:sz w:val="28"/>
        </w:rPr>
        <w:t xml:space="preserve">Il faut entre </w:t>
      </w:r>
      <w:r>
        <w:rPr>
          <w:rFonts w:asciiTheme="majorHAnsi" w:hAnsiTheme="majorHAnsi" w:cs="Calibri"/>
          <w:b/>
          <w:i/>
          <w:color w:val="365F91" w:themeColor="accent1" w:themeShade="BF"/>
          <w:sz w:val="28"/>
        </w:rPr>
        <w:t>4 et 6 mois</w:t>
      </w:r>
      <w:r>
        <w:rPr>
          <w:rFonts w:asciiTheme="majorHAnsi" w:hAnsiTheme="majorHAnsi" w:cs="Calibri"/>
          <w:color w:val="365F91" w:themeColor="accent1" w:themeShade="BF"/>
          <w:sz w:val="28"/>
        </w:rPr>
        <w:t xml:space="preserve"> pour faire aboutir un dossier.  </w:t>
      </w:r>
      <w:r w:rsidRPr="00B74796">
        <w:rPr>
          <w:rFonts w:asciiTheme="majorHAnsi" w:hAnsiTheme="majorHAnsi" w:cs="Calibri"/>
          <w:color w:val="365F91" w:themeColor="accent1" w:themeShade="BF"/>
          <w:sz w:val="28"/>
          <w:u w:val="single"/>
        </w:rPr>
        <w:t>Le contrat de prévention n’est pas adapté à des travaux urgents.</w:t>
      </w:r>
    </w:p>
    <w:p w:rsidR="00942773" w:rsidRPr="008F57E7" w:rsidRDefault="00E3789C" w:rsidP="00942773">
      <w:pPr>
        <w:pStyle w:val="Paragraphedeliste"/>
        <w:numPr>
          <w:ilvl w:val="0"/>
          <w:numId w:val="5"/>
        </w:numPr>
        <w:spacing w:after="0" w:line="240" w:lineRule="auto"/>
        <w:ind w:left="714" w:hanging="357"/>
        <w:rPr>
          <w:sz w:val="24"/>
        </w:rPr>
      </w:pPr>
      <w:r>
        <w:rPr>
          <w:rFonts w:asciiTheme="majorHAnsi" w:hAnsiTheme="majorHAnsi" w:cs="Calibri"/>
          <w:color w:val="365F91" w:themeColor="accent1" w:themeShade="BF"/>
          <w:sz w:val="28"/>
        </w:rPr>
        <w:t xml:space="preserve">Les fonds alloués aux entreprises ne sont que des </w:t>
      </w:r>
      <w:r>
        <w:rPr>
          <w:rFonts w:asciiTheme="majorHAnsi" w:hAnsiTheme="majorHAnsi" w:cs="Calibri"/>
          <w:b/>
          <w:i/>
          <w:color w:val="365F91" w:themeColor="accent1" w:themeShade="BF"/>
          <w:sz w:val="28"/>
        </w:rPr>
        <w:t>avances</w:t>
      </w:r>
      <w:r>
        <w:rPr>
          <w:rFonts w:asciiTheme="majorHAnsi" w:hAnsiTheme="majorHAnsi" w:cs="Calibri"/>
          <w:color w:val="365F91" w:themeColor="accent1" w:themeShade="BF"/>
          <w:sz w:val="28"/>
        </w:rPr>
        <w:t xml:space="preserve"> faites par la CARSAT et la CNAMTS. Elles vérifient </w:t>
      </w:r>
      <w:r w:rsidR="00B74796">
        <w:rPr>
          <w:rFonts w:asciiTheme="majorHAnsi" w:hAnsiTheme="majorHAnsi" w:cs="Calibri"/>
          <w:color w:val="365F91" w:themeColor="accent1" w:themeShade="BF"/>
          <w:sz w:val="28"/>
        </w:rPr>
        <w:t xml:space="preserve">ensuite </w:t>
      </w:r>
      <w:r>
        <w:rPr>
          <w:rFonts w:asciiTheme="majorHAnsi" w:hAnsiTheme="majorHAnsi" w:cs="Calibri"/>
          <w:color w:val="365F91" w:themeColor="accent1" w:themeShade="BF"/>
          <w:sz w:val="28"/>
        </w:rPr>
        <w:t xml:space="preserve">que les engagements pris dans le contrat de prévention sont bien respectés. Ce n’est qu’en fin de contrat que les sommes versées deviennent des subventions définitives, </w:t>
      </w:r>
      <w:r>
        <w:rPr>
          <w:rFonts w:asciiTheme="majorHAnsi" w:hAnsiTheme="majorHAnsi" w:cs="Calibri"/>
          <w:b/>
          <w:i/>
          <w:color w:val="365F91" w:themeColor="accent1" w:themeShade="BF"/>
          <w:sz w:val="28"/>
        </w:rPr>
        <w:t>après contrôle de la réalisation effective</w:t>
      </w:r>
      <w:r>
        <w:rPr>
          <w:rFonts w:asciiTheme="majorHAnsi" w:hAnsiTheme="majorHAnsi" w:cs="Calibri"/>
          <w:color w:val="365F91" w:themeColor="accent1" w:themeShade="BF"/>
          <w:sz w:val="28"/>
        </w:rPr>
        <w:t xml:space="preserve"> des travaux.</w:t>
      </w:r>
    </w:p>
    <w:p w:rsidR="008F57E7" w:rsidRDefault="008F57E7" w:rsidP="008F57E7">
      <w:pPr>
        <w:spacing w:after="0" w:line="240" w:lineRule="auto"/>
        <w:rPr>
          <w:sz w:val="24"/>
        </w:rPr>
      </w:pPr>
    </w:p>
    <w:p w:rsidR="008F57E7" w:rsidRPr="008F57E7" w:rsidRDefault="008F57E7" w:rsidP="008F57E7">
      <w:pPr>
        <w:spacing w:after="0" w:line="240" w:lineRule="auto"/>
        <w:rPr>
          <w:rFonts w:asciiTheme="majorHAnsi" w:hAnsiTheme="majorHAnsi" w:cs="Calibri"/>
          <w:color w:val="365F91" w:themeColor="accent1" w:themeShade="BF"/>
          <w:sz w:val="28"/>
        </w:rPr>
      </w:pPr>
      <w:r w:rsidRPr="008F57E7">
        <w:rPr>
          <w:rFonts w:asciiTheme="majorHAnsi" w:hAnsiTheme="majorHAnsi" w:cs="Calibri"/>
          <w:color w:val="365F91" w:themeColor="accent1" w:themeShade="BF"/>
          <w:sz w:val="28"/>
        </w:rPr>
        <w:t xml:space="preserve">Le texte de la Convention Nationale d’Objectifs de la branche des exploitations frigorifiques est disponible en cliquant </w:t>
      </w:r>
      <w:hyperlink r:id="rId8" w:history="1">
        <w:r w:rsidRPr="00B45611">
          <w:rPr>
            <w:rStyle w:val="Lienhypertexte"/>
            <w:rFonts w:asciiTheme="majorHAnsi" w:hAnsiTheme="majorHAnsi" w:cs="Calibri"/>
            <w:sz w:val="28"/>
          </w:rPr>
          <w:t>ici</w:t>
        </w:r>
      </w:hyperlink>
      <w:bookmarkStart w:id="0" w:name="_GoBack"/>
      <w:bookmarkEnd w:id="0"/>
      <w:r w:rsidRPr="008F57E7">
        <w:rPr>
          <w:rFonts w:asciiTheme="majorHAnsi" w:hAnsiTheme="majorHAnsi" w:cs="Calibri"/>
          <w:color w:val="365F91" w:themeColor="accent1" w:themeShade="BF"/>
          <w:sz w:val="28"/>
        </w:rPr>
        <w:t>.</w:t>
      </w:r>
    </w:p>
    <w:p w:rsidR="00443298" w:rsidRPr="00443298" w:rsidRDefault="00443298" w:rsidP="00443298">
      <w:pPr>
        <w:rPr>
          <w:rFonts w:ascii="Cambria" w:hAnsi="Cambria"/>
        </w:rPr>
      </w:pPr>
    </w:p>
    <w:p w:rsidR="00443298" w:rsidRPr="00443298" w:rsidRDefault="00443298" w:rsidP="00443298">
      <w:pPr>
        <w:rPr>
          <w:rFonts w:ascii="Cambria" w:hAnsi="Cambria"/>
        </w:rPr>
      </w:pPr>
    </w:p>
    <w:p w:rsidR="00443298" w:rsidRPr="00443298" w:rsidRDefault="00443298" w:rsidP="00443298">
      <w:pPr>
        <w:rPr>
          <w:rFonts w:ascii="Cambria" w:hAnsi="Cambria"/>
        </w:rPr>
      </w:pPr>
    </w:p>
    <w:p w:rsidR="00443298" w:rsidRDefault="00443298" w:rsidP="00443298">
      <w:pPr>
        <w:rPr>
          <w:rFonts w:ascii="Cambria" w:hAnsi="Cambria"/>
        </w:rPr>
      </w:pPr>
    </w:p>
    <w:p w:rsidR="00913BD6" w:rsidRPr="00443298" w:rsidRDefault="00913BD6" w:rsidP="00443298">
      <w:pPr>
        <w:rPr>
          <w:rFonts w:ascii="Cambria" w:hAnsi="Cambria"/>
        </w:rPr>
      </w:pPr>
    </w:p>
    <w:sectPr w:rsidR="00913BD6" w:rsidRPr="00443298" w:rsidSect="003E2462">
      <w:footerReference w:type="default" r:id="rId9"/>
      <w:footerReference w:type="first" r:id="rId10"/>
      <w:pgSz w:w="11906" w:h="16838"/>
      <w:pgMar w:top="1701" w:right="1418" w:bottom="1418" w:left="1418" w:header="709" w:footer="7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B9E" w:rsidRDefault="00951B9E" w:rsidP="000E44BE">
      <w:pPr>
        <w:spacing w:after="0" w:line="240" w:lineRule="auto"/>
      </w:pPr>
      <w:r>
        <w:separator/>
      </w:r>
    </w:p>
  </w:endnote>
  <w:endnote w:type="continuationSeparator" w:id="0">
    <w:p w:rsidR="00951B9E" w:rsidRDefault="00951B9E" w:rsidP="000E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1" w:usb1="500078FB" w:usb2="00000000" w:usb3="00000000" w:csb0="0000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Hebrew">
    <w:panose1 w:val="00000000000000000000"/>
    <w:charset w:val="00"/>
    <w:family w:val="auto"/>
    <w:pitch w:val="variable"/>
    <w:sig w:usb0="80000843" w:usb1="40002002" w:usb2="00000000" w:usb3="00000000" w:csb0="0000002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462" w:rsidRPr="00BC1EF7" w:rsidRDefault="003E2462" w:rsidP="003E2462">
    <w:pPr>
      <w:pStyle w:val="Pieddepage"/>
      <w:jc w:val="center"/>
      <w:rPr>
        <w:rFonts w:ascii="Times New Roman" w:hAnsi="Times New Roman"/>
        <w:sz w:val="20"/>
        <w:szCs w:val="20"/>
      </w:rPr>
    </w:pPr>
    <w:r w:rsidRPr="00BC1EF7">
      <w:rPr>
        <w:rFonts w:ascii="Times New Roman" w:hAnsi="Times New Roman"/>
        <w:sz w:val="20"/>
        <w:szCs w:val="20"/>
      </w:rPr>
      <w:t>UNION SYNDICALE NATIONALE DES EXPLOITATIONS FRIGORIFIQUES</w:t>
    </w:r>
  </w:p>
  <w:p w:rsidR="003E2462" w:rsidRDefault="003E2462" w:rsidP="003E2462">
    <w:pPr>
      <w:pStyle w:val="Pieddepag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5 rue Kepler - 75116 PARIS – Tél. 01.53.04.16.80 </w:t>
    </w:r>
  </w:p>
  <w:p w:rsidR="003E2462" w:rsidRDefault="00951B9E" w:rsidP="003E2462">
    <w:pPr>
      <w:pStyle w:val="Pieddepage"/>
      <w:jc w:val="center"/>
      <w:rPr>
        <w:rStyle w:val="Lienhypertexte"/>
        <w:rFonts w:ascii="Times New Roman" w:hAnsi="Times New Roman"/>
        <w:sz w:val="20"/>
        <w:szCs w:val="20"/>
      </w:rPr>
    </w:pPr>
    <w:hyperlink r:id="rId1" w:history="1">
      <w:r w:rsidR="003E2462">
        <w:rPr>
          <w:rStyle w:val="Lienhypertexte"/>
          <w:rFonts w:ascii="Times New Roman" w:hAnsi="Times New Roman"/>
          <w:sz w:val="20"/>
          <w:szCs w:val="20"/>
        </w:rPr>
        <w:t>usnef@lachainelogistiquedufroid.fr</w:t>
      </w:r>
    </w:hyperlink>
    <w:r w:rsidR="003E2462">
      <w:rPr>
        <w:rStyle w:val="Lienhypertexte"/>
        <w:rFonts w:ascii="Times New Roman" w:hAnsi="Times New Roman"/>
        <w:sz w:val="20"/>
        <w:szCs w:val="20"/>
      </w:rPr>
      <w:t xml:space="preserve"> - www.usnef.fr</w:t>
    </w:r>
  </w:p>
  <w:p w:rsidR="00102F98" w:rsidRPr="00BC1EF7" w:rsidRDefault="00102F98" w:rsidP="00EA5973">
    <w:pPr>
      <w:pStyle w:val="Pieddepag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8B7CDAC" wp14:editId="5E59F030">
          <wp:simplePos x="0" y="0"/>
          <wp:positionH relativeFrom="column">
            <wp:posOffset>2400300</wp:posOffset>
          </wp:positionH>
          <wp:positionV relativeFrom="paragraph">
            <wp:posOffset>104775</wp:posOffset>
          </wp:positionV>
          <wp:extent cx="1028700" cy="390525"/>
          <wp:effectExtent l="0" t="0" r="1270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aChaineDuFroi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81F" w:rsidRPr="00BC1EF7" w:rsidRDefault="0033381F" w:rsidP="0033381F">
    <w:pPr>
      <w:pStyle w:val="Pieddepage"/>
      <w:jc w:val="center"/>
      <w:rPr>
        <w:rFonts w:ascii="Times New Roman" w:hAnsi="Times New Roman"/>
        <w:sz w:val="20"/>
        <w:szCs w:val="20"/>
      </w:rPr>
    </w:pPr>
    <w:r w:rsidRPr="00BC1EF7">
      <w:rPr>
        <w:rFonts w:ascii="Times New Roman" w:hAnsi="Times New Roman"/>
        <w:sz w:val="20"/>
        <w:szCs w:val="20"/>
      </w:rPr>
      <w:t>UNION SYNDICALE NATIONALE DES EXPLOITATIONS FRIGORIFIQUES</w:t>
    </w:r>
  </w:p>
  <w:p w:rsidR="00AA26B9" w:rsidRDefault="0033381F" w:rsidP="0033381F">
    <w:pPr>
      <w:pStyle w:val="Pieddepag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5 rue Kepler - 75116</w:t>
    </w:r>
    <w:r w:rsidR="00E32A89">
      <w:rPr>
        <w:rFonts w:ascii="Times New Roman" w:hAnsi="Times New Roman"/>
        <w:sz w:val="20"/>
        <w:szCs w:val="20"/>
      </w:rPr>
      <w:t xml:space="preserve"> PARIS – Tél. 01.53.04.16.80 </w:t>
    </w:r>
  </w:p>
  <w:p w:rsidR="008C723E" w:rsidRDefault="00951B9E" w:rsidP="0033381F">
    <w:pPr>
      <w:pStyle w:val="Pieddepage"/>
      <w:jc w:val="center"/>
      <w:rPr>
        <w:rStyle w:val="Lienhypertexte"/>
        <w:rFonts w:ascii="Times New Roman" w:hAnsi="Times New Roman"/>
        <w:sz w:val="20"/>
        <w:szCs w:val="20"/>
      </w:rPr>
    </w:pPr>
    <w:hyperlink r:id="rId1" w:history="1">
      <w:r w:rsidR="004F38CC">
        <w:rPr>
          <w:rStyle w:val="Lienhypertexte"/>
          <w:rFonts w:ascii="Times New Roman" w:hAnsi="Times New Roman"/>
          <w:sz w:val="20"/>
          <w:szCs w:val="20"/>
        </w:rPr>
        <w:t>usnef@lachainelogistiquedufroid.fr</w:t>
      </w:r>
    </w:hyperlink>
    <w:r w:rsidR="007679F3">
      <w:rPr>
        <w:rStyle w:val="Lienhypertexte"/>
        <w:rFonts w:ascii="Times New Roman" w:hAnsi="Times New Roman"/>
        <w:sz w:val="20"/>
        <w:szCs w:val="20"/>
      </w:rPr>
      <w:t xml:space="preserve"> - www.usnef.fr</w:t>
    </w:r>
  </w:p>
  <w:p w:rsidR="0033381F" w:rsidRPr="00BC1EF7" w:rsidRDefault="00AA26B9" w:rsidP="0033381F">
    <w:pPr>
      <w:pStyle w:val="Pieddepag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3B603DD3" wp14:editId="7630A011">
          <wp:simplePos x="0" y="0"/>
          <wp:positionH relativeFrom="column">
            <wp:posOffset>2238226</wp:posOffset>
          </wp:positionH>
          <wp:positionV relativeFrom="paragraph">
            <wp:posOffset>58644</wp:posOffset>
          </wp:positionV>
          <wp:extent cx="1028700" cy="390525"/>
          <wp:effectExtent l="0" t="0" r="1270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aChaineDuFroi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381F" w:rsidRDefault="003338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B9E" w:rsidRDefault="00951B9E" w:rsidP="000E44BE">
      <w:pPr>
        <w:spacing w:after="0" w:line="240" w:lineRule="auto"/>
      </w:pPr>
      <w:r>
        <w:separator/>
      </w:r>
    </w:p>
  </w:footnote>
  <w:footnote w:type="continuationSeparator" w:id="0">
    <w:p w:rsidR="00951B9E" w:rsidRDefault="00951B9E" w:rsidP="000E44BE">
      <w:pPr>
        <w:spacing w:after="0" w:line="240" w:lineRule="auto"/>
      </w:pPr>
      <w:r>
        <w:continuationSeparator/>
      </w:r>
    </w:p>
  </w:footnote>
  <w:footnote w:id="1">
    <w:p w:rsidR="00942773" w:rsidRPr="000F30D6" w:rsidRDefault="00942773" w:rsidP="000F30D6">
      <w:pPr>
        <w:spacing w:after="0" w:line="240" w:lineRule="auto"/>
        <w:rPr>
          <w:rFonts w:asciiTheme="majorHAnsi" w:hAnsiTheme="majorHAnsi" w:cs="Calibri"/>
          <w:color w:val="365F91" w:themeColor="accent1" w:themeShade="BF"/>
          <w:sz w:val="20"/>
          <w:szCs w:val="28"/>
        </w:rPr>
      </w:pPr>
      <w:r>
        <w:rPr>
          <w:rStyle w:val="Appelnotedebasdep"/>
        </w:rPr>
        <w:footnoteRef/>
      </w:r>
      <w:r>
        <w:t xml:space="preserve"> </w:t>
      </w:r>
      <w:r w:rsidRPr="000F30D6">
        <w:rPr>
          <w:rFonts w:asciiTheme="majorHAnsi" w:hAnsiTheme="majorHAnsi" w:cs="Calibri"/>
          <w:color w:val="365F91" w:themeColor="accent1" w:themeShade="BF"/>
          <w:sz w:val="20"/>
          <w:szCs w:val="28"/>
        </w:rPr>
        <w:t xml:space="preserve">Caisse d'Assurance Retraite et de Santé au Travail - https://www.retraite.com/caisse-retraite/carsat/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62012"/>
    <w:multiLevelType w:val="hybridMultilevel"/>
    <w:tmpl w:val="FF840CF8"/>
    <w:lvl w:ilvl="0" w:tplc="F402B584">
      <w:start w:val="1"/>
      <w:numFmt w:val="bullet"/>
      <w:lvlText w:val="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52352"/>
    <w:multiLevelType w:val="hybridMultilevel"/>
    <w:tmpl w:val="93B057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9456B"/>
    <w:multiLevelType w:val="hybridMultilevel"/>
    <w:tmpl w:val="96F0E784"/>
    <w:lvl w:ilvl="0" w:tplc="031C9A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E2876"/>
    <w:multiLevelType w:val="hybridMultilevel"/>
    <w:tmpl w:val="574A4252"/>
    <w:lvl w:ilvl="0" w:tplc="B7D048E8">
      <w:start w:val="1"/>
      <w:numFmt w:val="bullet"/>
      <w:lvlText w:val=""/>
      <w:lvlJc w:val="left"/>
      <w:pPr>
        <w:ind w:left="720" w:hanging="360"/>
      </w:pPr>
      <w:rPr>
        <w:rFonts w:ascii="Symbol" w:eastAsiaTheme="minorEastAsia" w:hAnsi="Symbol" w:cstheme="minorBidi" w:hint="default"/>
        <w:color w:val="365F91" w:themeColor="accent1" w:themeShade="B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31D02"/>
    <w:multiLevelType w:val="hybridMultilevel"/>
    <w:tmpl w:val="2A5C7F3A"/>
    <w:lvl w:ilvl="0" w:tplc="F402B584">
      <w:start w:val="1"/>
      <w:numFmt w:val="bullet"/>
      <w:lvlText w:val="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789C"/>
    <w:rsid w:val="0004677C"/>
    <w:rsid w:val="000E44BE"/>
    <w:rsid w:val="000F30D6"/>
    <w:rsid w:val="00102F98"/>
    <w:rsid w:val="00164C66"/>
    <w:rsid w:val="002C08C5"/>
    <w:rsid w:val="002F0686"/>
    <w:rsid w:val="002F328C"/>
    <w:rsid w:val="0033381F"/>
    <w:rsid w:val="00347CDE"/>
    <w:rsid w:val="00374DB4"/>
    <w:rsid w:val="003D123D"/>
    <w:rsid w:val="003E2462"/>
    <w:rsid w:val="00443298"/>
    <w:rsid w:val="0049122E"/>
    <w:rsid w:val="004B7443"/>
    <w:rsid w:val="004F38CC"/>
    <w:rsid w:val="00643D29"/>
    <w:rsid w:val="007266BC"/>
    <w:rsid w:val="007679F3"/>
    <w:rsid w:val="007C5DEB"/>
    <w:rsid w:val="008226AD"/>
    <w:rsid w:val="0087382E"/>
    <w:rsid w:val="008C723E"/>
    <w:rsid w:val="008F57E7"/>
    <w:rsid w:val="00913BD6"/>
    <w:rsid w:val="00942773"/>
    <w:rsid w:val="00951B9E"/>
    <w:rsid w:val="00982296"/>
    <w:rsid w:val="009D4E75"/>
    <w:rsid w:val="00AA26B9"/>
    <w:rsid w:val="00B45611"/>
    <w:rsid w:val="00B74796"/>
    <w:rsid w:val="00B86892"/>
    <w:rsid w:val="00C40803"/>
    <w:rsid w:val="00CB7AB5"/>
    <w:rsid w:val="00DC4380"/>
    <w:rsid w:val="00E32A89"/>
    <w:rsid w:val="00E3789C"/>
    <w:rsid w:val="00E50E3E"/>
    <w:rsid w:val="00E61106"/>
    <w:rsid w:val="00EA5973"/>
    <w:rsid w:val="00F872D7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6705F37-FE2B-F247-B664-D8BC8341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44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328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2F328C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F328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2F328C"/>
    <w:rPr>
      <w:rFonts w:ascii="Calibri" w:eastAsia="Times New Roman" w:hAnsi="Calibri" w:cs="Times New Roman"/>
    </w:rPr>
  </w:style>
  <w:style w:type="paragraph" w:customStyle="1" w:styleId="Index">
    <w:name w:val="Index"/>
    <w:basedOn w:val="Normal"/>
    <w:rsid w:val="00F872D7"/>
    <w:pPr>
      <w:overflowPunct w:val="0"/>
      <w:autoSpaceDE w:val="0"/>
      <w:spacing w:after="0" w:line="240" w:lineRule="auto"/>
    </w:pPr>
    <w:rPr>
      <w:rFonts w:ascii="Liberation Sans" w:eastAsiaTheme="minorHAnsi" w:hAnsi="Liberation Sans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72D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02F9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2F9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2F98"/>
    <w:rPr>
      <w:rFonts w:ascii="Lucida Grande" w:hAnsi="Lucida Grande" w:cs="Lucida Grande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277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277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42773"/>
    <w:rPr>
      <w:vertAlign w:val="superscript"/>
    </w:rPr>
  </w:style>
  <w:style w:type="character" w:styleId="Mentionnonrsolue">
    <w:name w:val="Unresolved Mention"/>
    <w:basedOn w:val="Policepardfaut"/>
    <w:uiPriority w:val="99"/>
    <w:rsid w:val="00B45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nef.fr/file/20841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info@usnef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info@usnef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ALERIE/Library/Group%20Containers/UBF8T346G9.Office/User%20Content.localized/Templates.localized/USNEF%20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USNEF 1.dotx</Template>
  <TotalTime>28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Lasserre</dc:creator>
  <cp:keywords/>
  <dc:description/>
  <cp:lastModifiedBy>Microsoft Office User</cp:lastModifiedBy>
  <cp:revision>3</cp:revision>
  <dcterms:created xsi:type="dcterms:W3CDTF">2019-03-21T07:43:00Z</dcterms:created>
  <dcterms:modified xsi:type="dcterms:W3CDTF">2019-03-21T14:44:00Z</dcterms:modified>
</cp:coreProperties>
</file>